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A7" w:rsidRPr="003078EB" w:rsidRDefault="00F341A7" w:rsidP="00000DF0">
      <w:pPr>
        <w:jc w:val="center"/>
        <w:rPr>
          <w:rFonts w:ascii="Verdana" w:hAnsi="Verdana"/>
          <w:b/>
          <w:sz w:val="24"/>
          <w:u w:val="single"/>
        </w:rPr>
      </w:pPr>
      <w:bookmarkStart w:id="0" w:name="_GoBack"/>
      <w:bookmarkEnd w:id="0"/>
      <w:r w:rsidRPr="003078EB">
        <w:rPr>
          <w:rFonts w:ascii="Verdana" w:hAnsi="Verdana"/>
          <w:b/>
          <w:sz w:val="24"/>
          <w:u w:val="single"/>
        </w:rPr>
        <w:t>Assessment at St Day and Carharrack Community School</w:t>
      </w:r>
    </w:p>
    <w:p w:rsidR="00F341A7" w:rsidRPr="003078EB" w:rsidRDefault="00F341A7" w:rsidP="00000DF0">
      <w:pPr>
        <w:jc w:val="both"/>
        <w:rPr>
          <w:rFonts w:ascii="Verdana" w:hAnsi="Verdana"/>
          <w:b/>
          <w:sz w:val="24"/>
          <w:u w:val="single"/>
        </w:rPr>
      </w:pPr>
      <w:r w:rsidRPr="003078EB">
        <w:rPr>
          <w:rFonts w:ascii="Verdana" w:hAnsi="Verdana"/>
          <w:b/>
          <w:sz w:val="24"/>
          <w:u w:val="single"/>
        </w:rPr>
        <w:t>Statutory Requirements</w:t>
      </w:r>
    </w:p>
    <w:p w:rsidR="00F341A7" w:rsidRPr="003078EB" w:rsidRDefault="00F341A7" w:rsidP="00000DF0">
      <w:pPr>
        <w:jc w:val="both"/>
        <w:rPr>
          <w:rFonts w:ascii="Verdana" w:hAnsi="Verdana"/>
        </w:rPr>
      </w:pPr>
      <w:r w:rsidRPr="003078EB">
        <w:rPr>
          <w:rFonts w:ascii="Verdana" w:hAnsi="Verdana"/>
        </w:rPr>
        <w:t>According to the DFE Assessment Principles</w:t>
      </w:r>
      <w:r w:rsidR="003078EB">
        <w:rPr>
          <w:rFonts w:ascii="Verdana" w:hAnsi="Verdana"/>
        </w:rPr>
        <w:t xml:space="preserve"> (April 2014)</w:t>
      </w:r>
      <w:r w:rsidRPr="003078EB">
        <w:rPr>
          <w:rFonts w:ascii="Verdana" w:hAnsi="Verdana"/>
        </w:rPr>
        <w:t xml:space="preserve">, assessment at St Day and Carharrack </w:t>
      </w:r>
      <w:r w:rsidR="003078EB" w:rsidRPr="003078EB">
        <w:rPr>
          <w:rFonts w:ascii="Verdana" w:hAnsi="Verdana"/>
        </w:rPr>
        <w:t>must:</w:t>
      </w:r>
    </w:p>
    <w:p w:rsidR="003078EB" w:rsidRPr="003078EB" w:rsidRDefault="003078EB" w:rsidP="00000DF0">
      <w:pPr>
        <w:pStyle w:val="ListParagraph"/>
        <w:numPr>
          <w:ilvl w:val="0"/>
          <w:numId w:val="2"/>
        </w:numPr>
        <w:jc w:val="both"/>
        <w:rPr>
          <w:rFonts w:ascii="Verdana" w:hAnsi="Verdana"/>
        </w:rPr>
      </w:pPr>
      <w:r w:rsidRPr="003078EB">
        <w:rPr>
          <w:rFonts w:ascii="Verdana" w:hAnsi="Verdana"/>
        </w:rPr>
        <w:t>Be based upon evidence about progress made that is then used to keep families informed, support governors in making judgements about the school’s effectiveness and inform Ofsted inspections.</w:t>
      </w:r>
    </w:p>
    <w:p w:rsidR="003078EB" w:rsidRDefault="003078EB" w:rsidP="00000DF0">
      <w:pPr>
        <w:jc w:val="both"/>
        <w:rPr>
          <w:rFonts w:ascii="Verdana" w:hAnsi="Verdana"/>
        </w:rPr>
      </w:pPr>
      <w:r>
        <w:rPr>
          <w:rFonts w:ascii="Verdana" w:hAnsi="Verdana"/>
        </w:rPr>
        <w:t>According to the DFE, effective assessment systems:</w:t>
      </w:r>
    </w:p>
    <w:p w:rsidR="003078EB" w:rsidRDefault="003078EB" w:rsidP="00000DF0">
      <w:pPr>
        <w:pStyle w:val="ListParagraph"/>
        <w:numPr>
          <w:ilvl w:val="0"/>
          <w:numId w:val="2"/>
        </w:numPr>
        <w:jc w:val="both"/>
        <w:rPr>
          <w:rFonts w:ascii="Verdana" w:hAnsi="Verdana"/>
        </w:rPr>
      </w:pPr>
      <w:r w:rsidRPr="003078EB">
        <w:rPr>
          <w:rFonts w:ascii="Verdana" w:hAnsi="Verdana"/>
        </w:rPr>
        <w:t>Give reliable information to parents about how their child, and their child’s school, is performing</w:t>
      </w:r>
    </w:p>
    <w:p w:rsidR="003078EB" w:rsidRPr="003078EB" w:rsidRDefault="003078EB" w:rsidP="00000DF0">
      <w:pPr>
        <w:pStyle w:val="ListParagraph"/>
        <w:numPr>
          <w:ilvl w:val="0"/>
          <w:numId w:val="2"/>
        </w:numPr>
        <w:jc w:val="both"/>
        <w:rPr>
          <w:rFonts w:ascii="Verdana" w:hAnsi="Verdana"/>
        </w:rPr>
      </w:pPr>
      <w:r w:rsidRPr="003078EB">
        <w:rPr>
          <w:rFonts w:ascii="Verdana" w:hAnsi="Verdana"/>
        </w:rPr>
        <w:t>Help drive improvement for pupils and teachers</w:t>
      </w:r>
    </w:p>
    <w:p w:rsidR="003078EB" w:rsidRDefault="003078EB" w:rsidP="00000DF0">
      <w:pPr>
        <w:pStyle w:val="ListParagraph"/>
        <w:numPr>
          <w:ilvl w:val="0"/>
          <w:numId w:val="2"/>
        </w:numPr>
        <w:jc w:val="both"/>
        <w:rPr>
          <w:rFonts w:ascii="Verdana" w:hAnsi="Verdana"/>
        </w:rPr>
      </w:pPr>
      <w:r w:rsidRPr="003078EB">
        <w:rPr>
          <w:rFonts w:ascii="Verdana" w:hAnsi="Verdana"/>
        </w:rPr>
        <w:t>Make sure the school is keeping up with external best practice and innovation</w:t>
      </w:r>
    </w:p>
    <w:p w:rsidR="00856234" w:rsidRDefault="00856234" w:rsidP="00000DF0">
      <w:pPr>
        <w:jc w:val="both"/>
        <w:rPr>
          <w:rFonts w:ascii="Verdana" w:hAnsi="Verdana"/>
          <w:u w:val="single"/>
        </w:rPr>
      </w:pPr>
      <w:r>
        <w:rPr>
          <w:rFonts w:ascii="Verdana" w:hAnsi="Verdana"/>
          <w:u w:val="single"/>
        </w:rPr>
        <w:t>National Assessments</w:t>
      </w:r>
    </w:p>
    <w:p w:rsidR="00856234" w:rsidRDefault="00856234" w:rsidP="00000DF0">
      <w:pPr>
        <w:jc w:val="both"/>
        <w:rPr>
          <w:rFonts w:ascii="Verdana" w:hAnsi="Verdana"/>
        </w:rPr>
      </w:pPr>
      <w:r>
        <w:rPr>
          <w:rFonts w:ascii="Verdana" w:hAnsi="Verdana"/>
        </w:rPr>
        <w:t>YR1 – Phonics Screen</w:t>
      </w:r>
    </w:p>
    <w:p w:rsidR="00856234" w:rsidRDefault="006E19C7" w:rsidP="00000DF0">
      <w:pPr>
        <w:jc w:val="both"/>
        <w:rPr>
          <w:rFonts w:ascii="Verdana" w:hAnsi="Verdana"/>
        </w:rPr>
      </w:pPr>
      <w:r>
        <w:rPr>
          <w:rFonts w:ascii="Verdana" w:hAnsi="Verdana"/>
        </w:rPr>
        <w:t xml:space="preserve">YR2 – Reading and Maths </w:t>
      </w:r>
      <w:r w:rsidR="00856234">
        <w:rPr>
          <w:rFonts w:ascii="Verdana" w:hAnsi="Verdana"/>
        </w:rPr>
        <w:t>(writing via teacher assessment)</w:t>
      </w:r>
    </w:p>
    <w:p w:rsidR="00856234" w:rsidRPr="00856234" w:rsidRDefault="00EF4651" w:rsidP="00000DF0">
      <w:pPr>
        <w:jc w:val="both"/>
        <w:rPr>
          <w:rFonts w:ascii="Verdana" w:hAnsi="Verdana"/>
        </w:rPr>
      </w:pPr>
      <w:r>
        <w:rPr>
          <w:rFonts w:ascii="Verdana" w:hAnsi="Verdana"/>
        </w:rPr>
        <w:t>YR6 – Reading, Maths and</w:t>
      </w:r>
      <w:r w:rsidR="00856234">
        <w:rPr>
          <w:rFonts w:ascii="Verdana" w:hAnsi="Verdana"/>
        </w:rPr>
        <w:t xml:space="preserve"> SPaG (writing</w:t>
      </w:r>
      <w:r>
        <w:rPr>
          <w:rFonts w:ascii="Verdana" w:hAnsi="Verdana"/>
        </w:rPr>
        <w:t xml:space="preserve"> and Science</w:t>
      </w:r>
      <w:r w:rsidR="00856234">
        <w:rPr>
          <w:rFonts w:ascii="Verdana" w:hAnsi="Verdana"/>
        </w:rPr>
        <w:t xml:space="preserve"> via teacher assessment) </w:t>
      </w:r>
    </w:p>
    <w:p w:rsidR="003078EB" w:rsidRPr="003E3FB8" w:rsidRDefault="003E3FB8" w:rsidP="00000DF0">
      <w:pPr>
        <w:jc w:val="both"/>
        <w:rPr>
          <w:rFonts w:ascii="Verdana" w:hAnsi="Verdana"/>
          <w:b/>
          <w:sz w:val="24"/>
          <w:u w:val="single"/>
        </w:rPr>
      </w:pPr>
      <w:r w:rsidRPr="003E3FB8">
        <w:rPr>
          <w:rFonts w:ascii="Verdana" w:hAnsi="Verdana"/>
          <w:b/>
          <w:sz w:val="24"/>
          <w:u w:val="single"/>
        </w:rPr>
        <w:t>Assessment at St Day and Carharrack Community School</w:t>
      </w:r>
    </w:p>
    <w:p w:rsidR="003E3FB8" w:rsidRDefault="003E3FB8" w:rsidP="00000DF0">
      <w:pPr>
        <w:jc w:val="both"/>
        <w:rPr>
          <w:rFonts w:ascii="Verdana" w:hAnsi="Verdana"/>
          <w:b/>
          <w:u w:val="single"/>
        </w:rPr>
      </w:pPr>
      <w:r>
        <w:rPr>
          <w:rFonts w:ascii="Verdana" w:hAnsi="Verdana"/>
          <w:b/>
          <w:u w:val="single"/>
        </w:rPr>
        <w:t>Objectives</w:t>
      </w:r>
    </w:p>
    <w:p w:rsidR="003E3FB8" w:rsidRPr="003E3FB8" w:rsidRDefault="003E3FB8" w:rsidP="00000DF0">
      <w:pPr>
        <w:jc w:val="both"/>
        <w:rPr>
          <w:rFonts w:ascii="Verdana" w:hAnsi="Verdana"/>
        </w:rPr>
      </w:pPr>
      <w:r w:rsidRPr="003E3FB8">
        <w:rPr>
          <w:rFonts w:ascii="Verdana" w:hAnsi="Verdana"/>
        </w:rPr>
        <w:t>The purpose of this policy is to:</w:t>
      </w:r>
    </w:p>
    <w:p w:rsidR="003E3FB8" w:rsidRDefault="003E3FB8" w:rsidP="00000DF0">
      <w:pPr>
        <w:pStyle w:val="ListParagraph"/>
        <w:numPr>
          <w:ilvl w:val="0"/>
          <w:numId w:val="3"/>
        </w:numPr>
        <w:jc w:val="both"/>
        <w:rPr>
          <w:rFonts w:ascii="Verdana" w:hAnsi="Verdana"/>
        </w:rPr>
      </w:pPr>
      <w:r w:rsidRPr="003E3FB8">
        <w:rPr>
          <w:rFonts w:ascii="Verdana" w:hAnsi="Verdana"/>
        </w:rPr>
        <w:t>Demonstrate adherence to the DFE Assessment Principles</w:t>
      </w:r>
    </w:p>
    <w:p w:rsidR="003E3FB8" w:rsidRDefault="003E3FB8" w:rsidP="00000DF0">
      <w:pPr>
        <w:pStyle w:val="ListParagraph"/>
        <w:numPr>
          <w:ilvl w:val="0"/>
          <w:numId w:val="3"/>
        </w:numPr>
        <w:jc w:val="both"/>
        <w:rPr>
          <w:rFonts w:ascii="Verdana" w:hAnsi="Verdana"/>
        </w:rPr>
      </w:pPr>
      <w:r>
        <w:rPr>
          <w:rFonts w:ascii="Verdana" w:hAnsi="Verdana"/>
        </w:rPr>
        <w:t>Raise standards of achievement and attainment</w:t>
      </w:r>
    </w:p>
    <w:p w:rsidR="003E3FB8" w:rsidRDefault="003E3FB8" w:rsidP="00000DF0">
      <w:pPr>
        <w:pStyle w:val="ListParagraph"/>
        <w:numPr>
          <w:ilvl w:val="0"/>
          <w:numId w:val="3"/>
        </w:numPr>
        <w:jc w:val="both"/>
        <w:rPr>
          <w:rFonts w:ascii="Verdana" w:hAnsi="Verdana"/>
        </w:rPr>
      </w:pPr>
      <w:r>
        <w:rPr>
          <w:rFonts w:ascii="Verdana" w:hAnsi="Verdana"/>
        </w:rPr>
        <w:t xml:space="preserve">Promote consistency and continuity across the school </w:t>
      </w:r>
    </w:p>
    <w:p w:rsidR="003E3FB8" w:rsidRPr="003E3FB8" w:rsidRDefault="003E3FB8" w:rsidP="00000DF0">
      <w:pPr>
        <w:pStyle w:val="ListParagraph"/>
        <w:numPr>
          <w:ilvl w:val="0"/>
          <w:numId w:val="3"/>
        </w:numPr>
        <w:jc w:val="both"/>
        <w:rPr>
          <w:rFonts w:ascii="Verdana" w:hAnsi="Verdana"/>
        </w:rPr>
      </w:pPr>
      <w:r>
        <w:rPr>
          <w:rFonts w:ascii="Verdana" w:hAnsi="Verdana"/>
        </w:rPr>
        <w:t xml:space="preserve">Outline the practical application of assessment </w:t>
      </w:r>
    </w:p>
    <w:p w:rsidR="003E3FB8" w:rsidRPr="003E3FB8" w:rsidRDefault="003E3FB8" w:rsidP="00000DF0">
      <w:pPr>
        <w:jc w:val="both"/>
        <w:rPr>
          <w:rFonts w:ascii="Verdana" w:hAnsi="Verdana"/>
          <w:b/>
          <w:u w:val="single"/>
        </w:rPr>
      </w:pPr>
      <w:r>
        <w:rPr>
          <w:rFonts w:ascii="Verdana" w:hAnsi="Verdana"/>
          <w:b/>
          <w:u w:val="single"/>
        </w:rPr>
        <w:t>The purpose of assessment at St Day and Carharrack Community School</w:t>
      </w:r>
    </w:p>
    <w:p w:rsidR="00F341A7" w:rsidRDefault="008203B6" w:rsidP="00000DF0">
      <w:pPr>
        <w:jc w:val="both"/>
        <w:rPr>
          <w:rFonts w:ascii="Verdana" w:hAnsi="Verdana"/>
        </w:rPr>
      </w:pPr>
      <w:r>
        <w:rPr>
          <w:rFonts w:ascii="Verdana" w:hAnsi="Verdana"/>
        </w:rPr>
        <w:t>The n</w:t>
      </w:r>
      <w:r w:rsidR="00F57D27">
        <w:rPr>
          <w:rFonts w:ascii="Verdana" w:hAnsi="Verdana"/>
        </w:rPr>
        <w:t>ature of assessment at school is to</w:t>
      </w:r>
      <w:r>
        <w:rPr>
          <w:rFonts w:ascii="Verdana" w:hAnsi="Verdana"/>
        </w:rPr>
        <w:t>:</w:t>
      </w:r>
    </w:p>
    <w:p w:rsidR="008203B6" w:rsidRDefault="00F57D27" w:rsidP="00000DF0">
      <w:pPr>
        <w:pStyle w:val="ListParagraph"/>
        <w:numPr>
          <w:ilvl w:val="0"/>
          <w:numId w:val="4"/>
        </w:numPr>
        <w:jc w:val="both"/>
        <w:rPr>
          <w:rFonts w:ascii="Verdana" w:hAnsi="Verdana"/>
        </w:rPr>
      </w:pPr>
      <w:r>
        <w:rPr>
          <w:rFonts w:ascii="Verdana" w:hAnsi="Verdana"/>
        </w:rPr>
        <w:t>Support o</w:t>
      </w:r>
      <w:r w:rsidR="008203B6">
        <w:rPr>
          <w:rFonts w:ascii="Verdana" w:hAnsi="Verdana"/>
        </w:rPr>
        <w:t>ur awareness of the children’s knowledge, understanding and application of the Curriculum 2014’</w:t>
      </w:r>
      <w:r w:rsidR="00E24061">
        <w:rPr>
          <w:rFonts w:ascii="Verdana" w:hAnsi="Verdana"/>
        </w:rPr>
        <w:t>s objectives</w:t>
      </w:r>
    </w:p>
    <w:p w:rsidR="008203B6" w:rsidRDefault="00F57D27" w:rsidP="00000DF0">
      <w:pPr>
        <w:pStyle w:val="ListParagraph"/>
        <w:numPr>
          <w:ilvl w:val="0"/>
          <w:numId w:val="4"/>
        </w:numPr>
        <w:jc w:val="both"/>
        <w:rPr>
          <w:rFonts w:ascii="Verdana" w:hAnsi="Verdana"/>
        </w:rPr>
      </w:pPr>
      <w:r>
        <w:rPr>
          <w:rFonts w:ascii="Verdana" w:hAnsi="Verdana"/>
        </w:rPr>
        <w:t>Ensure t</w:t>
      </w:r>
      <w:r w:rsidR="00E03401">
        <w:rPr>
          <w:rFonts w:ascii="Verdana" w:hAnsi="Verdana"/>
        </w:rPr>
        <w:t>he planning of effective learning opportunities that are accessible yet challenging to the range of ability within the classroom</w:t>
      </w:r>
    </w:p>
    <w:p w:rsidR="00FB6D88" w:rsidRDefault="00FB6D88" w:rsidP="00000DF0">
      <w:pPr>
        <w:pStyle w:val="ListParagraph"/>
        <w:numPr>
          <w:ilvl w:val="0"/>
          <w:numId w:val="4"/>
        </w:numPr>
        <w:jc w:val="both"/>
        <w:rPr>
          <w:rFonts w:ascii="Verdana" w:hAnsi="Verdana"/>
        </w:rPr>
      </w:pPr>
      <w:r>
        <w:rPr>
          <w:rFonts w:ascii="Verdana" w:hAnsi="Verdana"/>
        </w:rPr>
        <w:t xml:space="preserve">Identify </w:t>
      </w:r>
      <w:r w:rsidR="00EE5EAE">
        <w:rPr>
          <w:rFonts w:ascii="Verdana" w:hAnsi="Verdana"/>
        </w:rPr>
        <w:t xml:space="preserve">and respond to </w:t>
      </w:r>
      <w:r>
        <w:rPr>
          <w:rFonts w:ascii="Verdana" w:hAnsi="Verdana"/>
        </w:rPr>
        <w:t>the next steps in learning</w:t>
      </w:r>
    </w:p>
    <w:p w:rsidR="00E03401" w:rsidRDefault="00F57D27" w:rsidP="00000DF0">
      <w:pPr>
        <w:pStyle w:val="ListParagraph"/>
        <w:numPr>
          <w:ilvl w:val="0"/>
          <w:numId w:val="4"/>
        </w:numPr>
        <w:jc w:val="both"/>
        <w:rPr>
          <w:rFonts w:ascii="Verdana" w:hAnsi="Verdana"/>
        </w:rPr>
      </w:pPr>
      <w:r>
        <w:rPr>
          <w:rFonts w:ascii="Verdana" w:hAnsi="Verdana"/>
        </w:rPr>
        <w:t>Enable o</w:t>
      </w:r>
      <w:r w:rsidR="00E24061">
        <w:rPr>
          <w:rFonts w:ascii="Verdana" w:hAnsi="Verdana"/>
        </w:rPr>
        <w:t xml:space="preserve">ur identification of children who are at risk of </w:t>
      </w:r>
      <w:r w:rsidR="00EE5EAE">
        <w:rPr>
          <w:rFonts w:ascii="Verdana" w:hAnsi="Verdana"/>
        </w:rPr>
        <w:t>underachievement</w:t>
      </w:r>
      <w:r w:rsidR="00E24061">
        <w:rPr>
          <w:rFonts w:ascii="Verdana" w:hAnsi="Verdana"/>
        </w:rPr>
        <w:t xml:space="preserve"> in order to intervene</w:t>
      </w:r>
      <w:r w:rsidR="00EE5EAE">
        <w:rPr>
          <w:rFonts w:ascii="Verdana" w:hAnsi="Verdana"/>
        </w:rPr>
        <w:t>, including our vulnerable groups</w:t>
      </w:r>
      <w:r w:rsidR="00A60D40">
        <w:rPr>
          <w:rFonts w:ascii="Verdana" w:hAnsi="Verdana"/>
        </w:rPr>
        <w:t>. Likewise, to identify children who are exceeding within</w:t>
      </w:r>
      <w:r>
        <w:rPr>
          <w:rFonts w:ascii="Verdana" w:hAnsi="Verdana"/>
        </w:rPr>
        <w:t xml:space="preserve"> their learning to ensure appropriate provision is made. </w:t>
      </w:r>
    </w:p>
    <w:p w:rsidR="00C20EE3" w:rsidRDefault="00C20EE3" w:rsidP="00000DF0">
      <w:pPr>
        <w:pStyle w:val="ListParagraph"/>
        <w:numPr>
          <w:ilvl w:val="0"/>
          <w:numId w:val="4"/>
        </w:numPr>
        <w:jc w:val="both"/>
        <w:rPr>
          <w:rFonts w:ascii="Verdana" w:hAnsi="Verdana"/>
        </w:rPr>
      </w:pPr>
      <w:r>
        <w:rPr>
          <w:rFonts w:ascii="Verdana" w:hAnsi="Verdana"/>
        </w:rPr>
        <w:t>Identify a specific barrier to learning</w:t>
      </w:r>
    </w:p>
    <w:p w:rsidR="00F57D27" w:rsidRDefault="00F57D27" w:rsidP="00000DF0">
      <w:pPr>
        <w:pStyle w:val="ListParagraph"/>
        <w:numPr>
          <w:ilvl w:val="0"/>
          <w:numId w:val="4"/>
        </w:numPr>
        <w:jc w:val="both"/>
        <w:rPr>
          <w:rFonts w:ascii="Verdana" w:hAnsi="Verdana"/>
        </w:rPr>
      </w:pPr>
      <w:r>
        <w:rPr>
          <w:rFonts w:ascii="Verdana" w:hAnsi="Verdana"/>
        </w:rPr>
        <w:t xml:space="preserve">Track pupil progress to support our data collection and analysis </w:t>
      </w:r>
      <w:r w:rsidR="00EE5EAE">
        <w:rPr>
          <w:rFonts w:ascii="Verdana" w:hAnsi="Verdana"/>
        </w:rPr>
        <w:t>for reasons of</w:t>
      </w:r>
      <w:r w:rsidR="00C20EE3">
        <w:rPr>
          <w:rFonts w:ascii="Verdana" w:hAnsi="Verdana"/>
        </w:rPr>
        <w:t xml:space="preserve"> accountability </w:t>
      </w:r>
    </w:p>
    <w:p w:rsidR="00985D44" w:rsidRDefault="00AF3EBD" w:rsidP="00000DF0">
      <w:pPr>
        <w:pStyle w:val="ListParagraph"/>
        <w:numPr>
          <w:ilvl w:val="0"/>
          <w:numId w:val="4"/>
        </w:numPr>
        <w:jc w:val="both"/>
        <w:rPr>
          <w:rFonts w:ascii="Verdana" w:hAnsi="Verdana"/>
        </w:rPr>
      </w:pPr>
      <w:r>
        <w:rPr>
          <w:rFonts w:ascii="Verdana" w:hAnsi="Verdana"/>
        </w:rPr>
        <w:t>Inform stakeholders of achievement and attainment</w:t>
      </w:r>
    </w:p>
    <w:p w:rsidR="00AF3EBD" w:rsidRDefault="00AF3EBD" w:rsidP="00000DF0">
      <w:pPr>
        <w:pStyle w:val="ListParagraph"/>
        <w:numPr>
          <w:ilvl w:val="0"/>
          <w:numId w:val="4"/>
        </w:numPr>
        <w:jc w:val="both"/>
        <w:rPr>
          <w:rFonts w:ascii="Verdana" w:hAnsi="Verdana"/>
        </w:rPr>
      </w:pPr>
      <w:r>
        <w:rPr>
          <w:rFonts w:ascii="Verdana" w:hAnsi="Verdana"/>
        </w:rPr>
        <w:t xml:space="preserve">Help ensure </w:t>
      </w:r>
      <w:r w:rsidR="003F0A5C">
        <w:rPr>
          <w:rFonts w:ascii="Verdana" w:hAnsi="Verdana"/>
        </w:rPr>
        <w:t xml:space="preserve">the accurate and effective allocation of Pupil Premium funding </w:t>
      </w:r>
    </w:p>
    <w:p w:rsidR="00FB6D88" w:rsidRPr="00EE5EAE" w:rsidRDefault="00EE5EAE" w:rsidP="00000DF0">
      <w:pPr>
        <w:jc w:val="both"/>
        <w:rPr>
          <w:rFonts w:ascii="Verdana" w:hAnsi="Verdana"/>
          <w:b/>
          <w:u w:val="single"/>
        </w:rPr>
      </w:pPr>
      <w:r w:rsidRPr="00EE5EAE">
        <w:rPr>
          <w:rFonts w:ascii="Verdana" w:hAnsi="Verdana"/>
          <w:b/>
          <w:u w:val="single"/>
        </w:rPr>
        <w:t>Formative Assessment at St Day and Carharrack Community School</w:t>
      </w:r>
    </w:p>
    <w:p w:rsidR="00F341A7" w:rsidRDefault="00EE5EAE" w:rsidP="00000DF0">
      <w:pPr>
        <w:jc w:val="both"/>
        <w:rPr>
          <w:rFonts w:ascii="Verdana" w:hAnsi="Verdana"/>
        </w:rPr>
      </w:pPr>
      <w:r>
        <w:rPr>
          <w:rFonts w:ascii="Verdana" w:hAnsi="Verdana"/>
        </w:rPr>
        <w:lastRenderedPageBreak/>
        <w:t>Carefully planned lessons seamlessly incorporate opportunities for formative assessment; they are not an ‘add-on’ to a lesson</w:t>
      </w:r>
      <w:r w:rsidR="00523BAB">
        <w:rPr>
          <w:rFonts w:ascii="Verdana" w:hAnsi="Verdana"/>
        </w:rPr>
        <w:t>, they are a daily part of our practice</w:t>
      </w:r>
      <w:r>
        <w:rPr>
          <w:rFonts w:ascii="Verdana" w:hAnsi="Verdana"/>
        </w:rPr>
        <w:t>. These opportunities include:</w:t>
      </w:r>
    </w:p>
    <w:p w:rsidR="00EE5EAE" w:rsidRDefault="00EE5EAE" w:rsidP="00000DF0">
      <w:pPr>
        <w:pStyle w:val="ListParagraph"/>
        <w:numPr>
          <w:ilvl w:val="0"/>
          <w:numId w:val="5"/>
        </w:numPr>
        <w:jc w:val="both"/>
        <w:rPr>
          <w:rFonts w:ascii="Verdana" w:hAnsi="Verdana"/>
        </w:rPr>
      </w:pPr>
      <w:r>
        <w:rPr>
          <w:rFonts w:ascii="Verdana" w:hAnsi="Verdana"/>
        </w:rPr>
        <w:t>Lessons that are planned to be accessible yet challenging to ensure learning is constantly moving on</w:t>
      </w:r>
      <w:r w:rsidR="00E3555E">
        <w:rPr>
          <w:rFonts w:ascii="Verdana" w:hAnsi="Verdana"/>
        </w:rPr>
        <w:t xml:space="preserve"> in response to observations made</w:t>
      </w:r>
    </w:p>
    <w:p w:rsidR="00EE5EAE" w:rsidRDefault="00EE5EAE" w:rsidP="00000DF0">
      <w:pPr>
        <w:pStyle w:val="ListParagraph"/>
        <w:numPr>
          <w:ilvl w:val="0"/>
          <w:numId w:val="5"/>
        </w:numPr>
        <w:jc w:val="both"/>
        <w:rPr>
          <w:rFonts w:ascii="Verdana" w:hAnsi="Verdana"/>
        </w:rPr>
      </w:pPr>
      <w:r>
        <w:rPr>
          <w:rFonts w:ascii="Verdana" w:hAnsi="Verdana"/>
        </w:rPr>
        <w:t>Teacher and support staff questioning that elicits an awareness of a child’s knowledge and understanding</w:t>
      </w:r>
    </w:p>
    <w:p w:rsidR="00EE5EAE" w:rsidRPr="00EE5EAE" w:rsidRDefault="00EE5EAE" w:rsidP="00000DF0">
      <w:pPr>
        <w:pStyle w:val="ListParagraph"/>
        <w:numPr>
          <w:ilvl w:val="0"/>
          <w:numId w:val="5"/>
        </w:numPr>
        <w:jc w:val="both"/>
      </w:pPr>
      <w:r w:rsidRPr="00EE5EAE">
        <w:rPr>
          <w:rFonts w:ascii="Verdana" w:hAnsi="Verdana"/>
        </w:rPr>
        <w:t xml:space="preserve">Effective differentiation </w:t>
      </w:r>
      <w:r>
        <w:rPr>
          <w:rFonts w:ascii="Verdana" w:hAnsi="Verdana"/>
        </w:rPr>
        <w:t>organised to ensure children have the specific support needed to achieve a learning intention</w:t>
      </w:r>
    </w:p>
    <w:p w:rsidR="00EE5EAE" w:rsidRPr="00E3555E" w:rsidRDefault="00EE5EAE" w:rsidP="00000DF0">
      <w:pPr>
        <w:pStyle w:val="ListParagraph"/>
        <w:numPr>
          <w:ilvl w:val="0"/>
          <w:numId w:val="5"/>
        </w:numPr>
        <w:jc w:val="both"/>
      </w:pPr>
      <w:r>
        <w:rPr>
          <w:rFonts w:ascii="Verdana" w:hAnsi="Verdana"/>
        </w:rPr>
        <w:t xml:space="preserve">Observations made of children’s learning is recorded through annotation on the weekly literacy and numeracy documents </w:t>
      </w:r>
    </w:p>
    <w:p w:rsidR="00E3555E" w:rsidRPr="00E3555E" w:rsidRDefault="00E3555E" w:rsidP="00000DF0">
      <w:pPr>
        <w:pStyle w:val="ListParagraph"/>
        <w:numPr>
          <w:ilvl w:val="0"/>
          <w:numId w:val="5"/>
        </w:numPr>
        <w:jc w:val="both"/>
      </w:pPr>
      <w:r>
        <w:rPr>
          <w:rFonts w:ascii="Verdana" w:hAnsi="Verdana"/>
        </w:rPr>
        <w:t>As per the Marking and Feedback policy, regular marking of the children’s learning ensures teacher awareness and offers next steps to children</w:t>
      </w:r>
    </w:p>
    <w:p w:rsidR="00E3555E" w:rsidRPr="00523BAB" w:rsidRDefault="00E3555E" w:rsidP="00000DF0">
      <w:pPr>
        <w:pStyle w:val="ListParagraph"/>
        <w:numPr>
          <w:ilvl w:val="0"/>
          <w:numId w:val="5"/>
        </w:numPr>
        <w:jc w:val="both"/>
      </w:pPr>
      <w:r>
        <w:rPr>
          <w:rFonts w:ascii="Verdana" w:hAnsi="Verdana"/>
        </w:rPr>
        <w:t>The use of self and peer-assessment; using toolkits for writing and assessment of those, children offering each other feedback both oral</w:t>
      </w:r>
      <w:r w:rsidR="000467BF">
        <w:rPr>
          <w:rFonts w:ascii="Verdana" w:hAnsi="Verdana"/>
        </w:rPr>
        <w:t>ly and written</w:t>
      </w:r>
    </w:p>
    <w:p w:rsidR="00523BAB" w:rsidRPr="00523BAB" w:rsidRDefault="00523BAB" w:rsidP="00000DF0">
      <w:pPr>
        <w:pStyle w:val="ListParagraph"/>
        <w:numPr>
          <w:ilvl w:val="0"/>
          <w:numId w:val="5"/>
        </w:numPr>
        <w:jc w:val="both"/>
      </w:pPr>
      <w:r>
        <w:rPr>
          <w:rFonts w:ascii="Verdana" w:hAnsi="Verdana"/>
        </w:rPr>
        <w:t>The use of observations made during intervention sessions</w:t>
      </w:r>
      <w:r w:rsidR="000467BF">
        <w:rPr>
          <w:rFonts w:ascii="Verdana" w:hAnsi="Verdana"/>
        </w:rPr>
        <w:t xml:space="preserve"> recorded by support staff leading on these; a summary of the specific learning and progress for each child is recorded for class teachers to access</w:t>
      </w:r>
    </w:p>
    <w:p w:rsidR="00613CE8" w:rsidRPr="00613CE8" w:rsidRDefault="00523BAB" w:rsidP="00000DF0">
      <w:pPr>
        <w:pStyle w:val="ListParagraph"/>
        <w:numPr>
          <w:ilvl w:val="0"/>
          <w:numId w:val="5"/>
        </w:numPr>
        <w:jc w:val="both"/>
      </w:pPr>
      <w:r>
        <w:rPr>
          <w:rFonts w:ascii="Verdana" w:hAnsi="Verdana"/>
        </w:rPr>
        <w:t xml:space="preserve">Record keeping of evidence of a potential specific learning need </w:t>
      </w:r>
      <w:r w:rsidR="00613CE8">
        <w:rPr>
          <w:rFonts w:ascii="Verdana" w:hAnsi="Verdana"/>
        </w:rPr>
        <w:t>–</w:t>
      </w:r>
      <w:r>
        <w:rPr>
          <w:rFonts w:ascii="Verdana" w:hAnsi="Verdana"/>
        </w:rPr>
        <w:t xml:space="preserve"> SEND</w:t>
      </w:r>
    </w:p>
    <w:p w:rsidR="00613CE8" w:rsidRPr="00613CE8" w:rsidRDefault="00613CE8" w:rsidP="00000DF0">
      <w:pPr>
        <w:pStyle w:val="ListParagraph"/>
        <w:numPr>
          <w:ilvl w:val="0"/>
          <w:numId w:val="5"/>
        </w:numPr>
        <w:jc w:val="both"/>
      </w:pPr>
      <w:r>
        <w:rPr>
          <w:rFonts w:ascii="Verdana" w:hAnsi="Verdana"/>
        </w:rPr>
        <w:t>The use of Guided Reading record keeping; teachers and support staff are expected to record learning achieved in those sessions in the blue folders</w:t>
      </w:r>
      <w:r w:rsidR="00317007">
        <w:rPr>
          <w:rFonts w:ascii="Verdana" w:hAnsi="Verdana"/>
        </w:rPr>
        <w:t>/book band colour chart</w:t>
      </w:r>
      <w:r>
        <w:rPr>
          <w:rFonts w:ascii="Verdana" w:hAnsi="Verdana"/>
        </w:rPr>
        <w:t xml:space="preserve">. </w:t>
      </w:r>
    </w:p>
    <w:p w:rsidR="00523BAB" w:rsidRPr="00613CE8" w:rsidRDefault="00613CE8" w:rsidP="00000DF0">
      <w:pPr>
        <w:jc w:val="both"/>
        <w:rPr>
          <w:b/>
          <w:u w:val="single"/>
        </w:rPr>
      </w:pPr>
      <w:r w:rsidRPr="00613CE8">
        <w:rPr>
          <w:rFonts w:ascii="Verdana" w:hAnsi="Verdana"/>
          <w:b/>
          <w:u w:val="single"/>
        </w:rPr>
        <w:t>Summative Assessment at St Day and Carharrack Community School</w:t>
      </w:r>
      <w:r w:rsidR="00523BAB" w:rsidRPr="00613CE8">
        <w:rPr>
          <w:rFonts w:ascii="Verdana" w:hAnsi="Verdana"/>
          <w:b/>
          <w:u w:val="single"/>
        </w:rPr>
        <w:t xml:space="preserve"> </w:t>
      </w:r>
    </w:p>
    <w:p w:rsidR="00EE5EAE" w:rsidRDefault="00613CE8" w:rsidP="00000DF0">
      <w:pPr>
        <w:jc w:val="both"/>
        <w:rPr>
          <w:rFonts w:ascii="Verdana" w:hAnsi="Verdana"/>
        </w:rPr>
      </w:pPr>
      <w:r>
        <w:rPr>
          <w:rFonts w:ascii="Verdana" w:hAnsi="Verdana"/>
        </w:rPr>
        <w:t>Decisions made about a child’s attainment are made 3 times a year in Reading, Writing and Maths. These decision</w:t>
      </w:r>
      <w:r w:rsidR="000467BF">
        <w:rPr>
          <w:rFonts w:ascii="Verdana" w:hAnsi="Verdana"/>
        </w:rPr>
        <w:t>s</w:t>
      </w:r>
      <w:r>
        <w:rPr>
          <w:rFonts w:ascii="Verdana" w:hAnsi="Verdana"/>
        </w:rPr>
        <w:t xml:space="preserve"> are based upon a range of the children’s work, for example, including different genres of writing and are assessed using the ‘Not </w:t>
      </w:r>
      <w:proofErr w:type="gramStart"/>
      <w:r>
        <w:rPr>
          <w:rFonts w:ascii="Verdana" w:hAnsi="Verdana"/>
        </w:rPr>
        <w:t>As</w:t>
      </w:r>
      <w:proofErr w:type="gramEnd"/>
      <w:r>
        <w:rPr>
          <w:rFonts w:ascii="Verdana" w:hAnsi="Verdana"/>
        </w:rPr>
        <w:t xml:space="preserve"> We Know It’</w:t>
      </w:r>
      <w:r w:rsidR="00D72630">
        <w:rPr>
          <w:rFonts w:ascii="Verdana" w:hAnsi="Verdana"/>
        </w:rPr>
        <w:t xml:space="preserve"> (NAWKI)</w:t>
      </w:r>
      <w:r>
        <w:rPr>
          <w:rFonts w:ascii="Verdana" w:hAnsi="Verdana"/>
        </w:rPr>
        <w:t xml:space="preserve"> assessment </w:t>
      </w:r>
      <w:r w:rsidR="00C03041">
        <w:rPr>
          <w:rFonts w:ascii="Verdana" w:hAnsi="Verdana"/>
        </w:rPr>
        <w:t>crit</w:t>
      </w:r>
      <w:r w:rsidR="00D72630">
        <w:rPr>
          <w:rFonts w:ascii="Verdana" w:hAnsi="Verdana"/>
        </w:rPr>
        <w:t>eria</w:t>
      </w:r>
      <w:r>
        <w:rPr>
          <w:rFonts w:ascii="Verdana" w:hAnsi="Verdana"/>
        </w:rPr>
        <w:t xml:space="preserve">. </w:t>
      </w:r>
    </w:p>
    <w:p w:rsidR="00613CE8" w:rsidRDefault="00613CE8" w:rsidP="00000DF0">
      <w:pPr>
        <w:jc w:val="both"/>
        <w:rPr>
          <w:rFonts w:ascii="Verdana" w:hAnsi="Verdana"/>
        </w:rPr>
      </w:pPr>
      <w:r>
        <w:rPr>
          <w:rFonts w:ascii="Verdana" w:hAnsi="Verdana"/>
        </w:rPr>
        <w:t xml:space="preserve">Assessments are made in early December, March and June of each academic year </w:t>
      </w:r>
      <w:r w:rsidR="00317007">
        <w:rPr>
          <w:rFonts w:ascii="Verdana" w:hAnsi="Verdana"/>
        </w:rPr>
        <w:t xml:space="preserve">(placed on the calendar at the start of the year) </w:t>
      </w:r>
      <w:r>
        <w:rPr>
          <w:rFonts w:ascii="Verdana" w:hAnsi="Verdana"/>
        </w:rPr>
        <w:t xml:space="preserve">and the teacher has responsibility to ensure a class record folder exists in which to store assessment records. </w:t>
      </w:r>
      <w:r w:rsidR="00D72630">
        <w:rPr>
          <w:rFonts w:ascii="Verdana" w:hAnsi="Verdana"/>
        </w:rPr>
        <w:t xml:space="preserve">The same record for each child can be used at each assessment point, with up-to-date information </w:t>
      </w:r>
      <w:r w:rsidR="00604707">
        <w:rPr>
          <w:rFonts w:ascii="Verdana" w:hAnsi="Verdana"/>
        </w:rPr>
        <w:t>added on. T</w:t>
      </w:r>
      <w:r w:rsidR="00D72630">
        <w:rPr>
          <w:rFonts w:ascii="Verdana" w:hAnsi="Verdana"/>
        </w:rPr>
        <w:t xml:space="preserve">o support with transition, the records are to be passed to the next class teacher </w:t>
      </w:r>
      <w:r w:rsidR="00604707">
        <w:rPr>
          <w:rFonts w:ascii="Verdana" w:hAnsi="Verdana"/>
        </w:rPr>
        <w:t>to support with a</w:t>
      </w:r>
      <w:r w:rsidR="00D72630">
        <w:rPr>
          <w:rFonts w:ascii="Verdana" w:hAnsi="Verdana"/>
        </w:rPr>
        <w:t xml:space="preserve"> starting point. </w:t>
      </w:r>
    </w:p>
    <w:p w:rsidR="00C20EE3" w:rsidRDefault="00C20EE3" w:rsidP="00000DF0">
      <w:pPr>
        <w:jc w:val="both"/>
        <w:rPr>
          <w:rFonts w:ascii="Verdana" w:hAnsi="Verdana"/>
        </w:rPr>
      </w:pPr>
      <w:r>
        <w:rPr>
          <w:rFonts w:ascii="Verdana" w:hAnsi="Verdana"/>
        </w:rPr>
        <w:t>There is no expectation to test a child t</w:t>
      </w:r>
      <w:r w:rsidR="00D72630">
        <w:rPr>
          <w:rFonts w:ascii="Verdana" w:hAnsi="Verdana"/>
        </w:rPr>
        <w:t>o inform summative assessment data.</w:t>
      </w:r>
    </w:p>
    <w:p w:rsidR="00C03041" w:rsidRDefault="00C03041" w:rsidP="00000DF0">
      <w:pPr>
        <w:jc w:val="both"/>
        <w:rPr>
          <w:rFonts w:ascii="Verdana" w:hAnsi="Verdana"/>
        </w:rPr>
      </w:pPr>
      <w:r>
        <w:rPr>
          <w:rFonts w:ascii="Verdana" w:hAnsi="Verdana"/>
        </w:rPr>
        <w:t xml:space="preserve">Teachers are expected to make a best fit judgement within the 9 point scale for each year group, depending on where the child ‘fits’ within that moment. For example, it is entirely possible for a year 4 child to be assessed against the criteria for a year 2 child. Likewise, children may also be assessed as working within the next year group. </w:t>
      </w:r>
    </w:p>
    <w:p w:rsidR="00C03041" w:rsidRDefault="00C03041" w:rsidP="00000DF0">
      <w:pPr>
        <w:jc w:val="both"/>
        <w:rPr>
          <w:rFonts w:ascii="Verdana" w:hAnsi="Verdana"/>
          <w:u w:val="single"/>
        </w:rPr>
      </w:pPr>
      <w:r w:rsidRPr="00C03041">
        <w:rPr>
          <w:rFonts w:ascii="Verdana" w:hAnsi="Verdana"/>
          <w:u w:val="single"/>
        </w:rPr>
        <w:t>Moderation</w:t>
      </w:r>
    </w:p>
    <w:p w:rsidR="00823E2C" w:rsidRDefault="00C03041" w:rsidP="00000DF0">
      <w:pPr>
        <w:jc w:val="both"/>
        <w:rPr>
          <w:rFonts w:ascii="Verdana" w:hAnsi="Verdana"/>
        </w:rPr>
      </w:pPr>
      <w:r w:rsidRPr="00C03041">
        <w:rPr>
          <w:rFonts w:ascii="Verdana" w:hAnsi="Verdana"/>
        </w:rPr>
        <w:t>Moderation</w:t>
      </w:r>
      <w:r w:rsidR="00823E2C">
        <w:rPr>
          <w:rFonts w:ascii="Verdana" w:hAnsi="Verdana"/>
        </w:rPr>
        <w:t xml:space="preserve"> of writing and maths</w:t>
      </w:r>
      <w:r w:rsidRPr="00C03041">
        <w:rPr>
          <w:rFonts w:ascii="Verdana" w:hAnsi="Verdana"/>
        </w:rPr>
        <w:t xml:space="preserve"> </w:t>
      </w:r>
      <w:r w:rsidR="00823E2C">
        <w:rPr>
          <w:rFonts w:ascii="Verdana" w:hAnsi="Verdana"/>
        </w:rPr>
        <w:t>is</w:t>
      </w:r>
      <w:r w:rsidRPr="00C03041">
        <w:rPr>
          <w:rFonts w:ascii="Verdana" w:hAnsi="Verdana"/>
        </w:rPr>
        <w:t xml:space="preserve"> scheduled</w:t>
      </w:r>
      <w:r w:rsidR="00823E2C">
        <w:rPr>
          <w:rFonts w:ascii="Verdana" w:hAnsi="Verdana"/>
        </w:rPr>
        <w:t xml:space="preserve"> during staff meeting time for all staff to share examples of learning at a range of levels. This moderation exists to ensure our decisions and judgements are accurate and objective. </w:t>
      </w:r>
    </w:p>
    <w:p w:rsidR="00C03041" w:rsidRPr="00C03041" w:rsidRDefault="00823E2C" w:rsidP="00000DF0">
      <w:pPr>
        <w:jc w:val="both"/>
        <w:rPr>
          <w:rFonts w:ascii="Verdana" w:hAnsi="Verdana"/>
        </w:rPr>
      </w:pPr>
      <w:r>
        <w:rPr>
          <w:rFonts w:ascii="Verdana" w:hAnsi="Verdana"/>
        </w:rPr>
        <w:t>Teachers will be expected to join cross school moderation with</w:t>
      </w:r>
      <w:r w:rsidR="00317007">
        <w:rPr>
          <w:rFonts w:ascii="Verdana" w:hAnsi="Verdana"/>
        </w:rPr>
        <w:t xml:space="preserve">in the Redruth Learning Group at certain points in the year. </w:t>
      </w:r>
      <w:r>
        <w:rPr>
          <w:rFonts w:ascii="Verdana" w:hAnsi="Verdana"/>
        </w:rPr>
        <w:t xml:space="preserve"> </w:t>
      </w:r>
      <w:r w:rsidR="00C03041" w:rsidRPr="00C03041">
        <w:rPr>
          <w:rFonts w:ascii="Verdana" w:hAnsi="Verdana"/>
        </w:rPr>
        <w:t xml:space="preserve"> </w:t>
      </w:r>
    </w:p>
    <w:p w:rsidR="00C03041" w:rsidRDefault="00C03041" w:rsidP="00000DF0">
      <w:pPr>
        <w:jc w:val="both"/>
        <w:rPr>
          <w:rFonts w:ascii="Verdana" w:hAnsi="Verdana"/>
          <w:u w:val="single"/>
        </w:rPr>
      </w:pPr>
      <w:r w:rsidRPr="00C03041">
        <w:rPr>
          <w:rFonts w:ascii="Verdana" w:hAnsi="Verdana"/>
          <w:u w:val="single"/>
        </w:rPr>
        <w:t>Expected Progress</w:t>
      </w:r>
    </w:p>
    <w:p w:rsidR="00000DF0" w:rsidRDefault="00C03041" w:rsidP="00000DF0">
      <w:pPr>
        <w:jc w:val="both"/>
        <w:rPr>
          <w:rFonts w:ascii="Verdana" w:hAnsi="Verdana"/>
        </w:rPr>
      </w:pPr>
      <w:r w:rsidRPr="00C03041">
        <w:rPr>
          <w:rFonts w:ascii="Verdana" w:hAnsi="Verdana"/>
        </w:rPr>
        <w:lastRenderedPageBreak/>
        <w:t xml:space="preserve">All targets for </w:t>
      </w:r>
      <w:r>
        <w:rPr>
          <w:rFonts w:ascii="Verdana" w:hAnsi="Verdana"/>
        </w:rPr>
        <w:t>attainment</w:t>
      </w:r>
      <w:r w:rsidRPr="00C03041">
        <w:rPr>
          <w:rFonts w:ascii="Verdana" w:hAnsi="Verdana"/>
        </w:rPr>
        <w:t xml:space="preserve"> </w:t>
      </w:r>
      <w:r>
        <w:rPr>
          <w:rFonts w:ascii="Verdana" w:hAnsi="Verdana"/>
        </w:rPr>
        <w:t xml:space="preserve">from year to year </w:t>
      </w:r>
      <w:r w:rsidRPr="00C03041">
        <w:rPr>
          <w:rFonts w:ascii="Verdana" w:hAnsi="Verdana"/>
        </w:rPr>
        <w:t>are based on the child’s</w:t>
      </w:r>
      <w:r>
        <w:rPr>
          <w:rFonts w:ascii="Verdana" w:hAnsi="Verdana"/>
        </w:rPr>
        <w:t xml:space="preserve"> initial</w:t>
      </w:r>
      <w:r w:rsidRPr="00C03041">
        <w:rPr>
          <w:rFonts w:ascii="Verdana" w:hAnsi="Verdana"/>
        </w:rPr>
        <w:t xml:space="preserve"> starting point</w:t>
      </w:r>
      <w:r>
        <w:rPr>
          <w:rFonts w:ascii="Verdana" w:hAnsi="Verdana"/>
        </w:rPr>
        <w:t xml:space="preserve">; this is to ensure continual progress </w:t>
      </w:r>
      <w:r w:rsidR="000467BF">
        <w:rPr>
          <w:rFonts w:ascii="Verdana" w:hAnsi="Verdana"/>
        </w:rPr>
        <w:t>is being made</w:t>
      </w:r>
      <w:r>
        <w:rPr>
          <w:rFonts w:ascii="Verdana" w:hAnsi="Verdana"/>
        </w:rPr>
        <w:t xml:space="preserve">. Where a child has started as </w:t>
      </w:r>
      <w:r w:rsidR="000467BF">
        <w:rPr>
          <w:rFonts w:ascii="Verdana" w:hAnsi="Verdana"/>
        </w:rPr>
        <w:t>‘</w:t>
      </w:r>
      <w:r>
        <w:rPr>
          <w:rFonts w:ascii="Verdana" w:hAnsi="Verdana"/>
        </w:rPr>
        <w:t>underachieving</w:t>
      </w:r>
      <w:r w:rsidR="000467BF">
        <w:rPr>
          <w:rFonts w:ascii="Verdana" w:hAnsi="Verdana"/>
        </w:rPr>
        <w:t>’</w:t>
      </w:r>
      <w:r>
        <w:rPr>
          <w:rFonts w:ascii="Verdana" w:hAnsi="Verdana"/>
        </w:rPr>
        <w:t>, the expectatio</w:t>
      </w:r>
      <w:r w:rsidR="000467BF">
        <w:rPr>
          <w:rFonts w:ascii="Verdana" w:hAnsi="Verdana"/>
        </w:rPr>
        <w:t xml:space="preserve">n will always be that the child makes accelerated progress to end that academic year as ‘expected’ – the difference being diminished through the class teacher’s ‘wave 1’ input before ‘wave 2’ intervention is implemented. </w:t>
      </w:r>
    </w:p>
    <w:p w:rsidR="00230739" w:rsidRDefault="00230739" w:rsidP="00000DF0">
      <w:pPr>
        <w:jc w:val="both"/>
        <w:rPr>
          <w:rFonts w:ascii="Verdana" w:hAnsi="Verdana"/>
        </w:rPr>
      </w:pPr>
      <w:r>
        <w:rPr>
          <w:rFonts w:ascii="Verdana" w:hAnsi="Verdana"/>
        </w:rPr>
        <w:t xml:space="preserve">The amount of criteria needed to be successfully achieved in order for a child to be deemed as ‘expected’ is dependent upon the year group in which they best fit; </w:t>
      </w:r>
      <w:r w:rsidR="003442B2">
        <w:rPr>
          <w:rFonts w:ascii="Verdana" w:hAnsi="Verdana"/>
        </w:rPr>
        <w:t>moderation will support the process of making an over</w:t>
      </w:r>
      <w:r w:rsidR="006E19C7">
        <w:rPr>
          <w:rFonts w:ascii="Verdana" w:hAnsi="Verdana"/>
        </w:rPr>
        <w:t xml:space="preserve">all judgement as well as referring to the NAWKI guidance. </w:t>
      </w:r>
    </w:p>
    <w:tbl>
      <w:tblPr>
        <w:tblStyle w:val="TableGrid"/>
        <w:tblW w:w="0" w:type="auto"/>
        <w:tblLook w:val="04A0" w:firstRow="1" w:lastRow="0" w:firstColumn="1" w:lastColumn="0" w:noHBand="0" w:noVBand="1"/>
      </w:tblPr>
      <w:tblGrid>
        <w:gridCol w:w="5228"/>
        <w:gridCol w:w="5228"/>
      </w:tblGrid>
      <w:tr w:rsidR="00C03041" w:rsidTr="00C03041">
        <w:tc>
          <w:tcPr>
            <w:tcW w:w="5341" w:type="dxa"/>
            <w:shd w:val="clear" w:color="auto" w:fill="D9D9D9" w:themeFill="background1" w:themeFillShade="D9"/>
          </w:tcPr>
          <w:p w:rsidR="00C03041" w:rsidRPr="00C03041" w:rsidRDefault="00C03041" w:rsidP="00230739">
            <w:pPr>
              <w:jc w:val="center"/>
              <w:rPr>
                <w:rFonts w:ascii="Verdana" w:hAnsi="Verdana"/>
                <w:b/>
              </w:rPr>
            </w:pPr>
            <w:r w:rsidRPr="00C03041">
              <w:rPr>
                <w:rFonts w:ascii="Verdana" w:hAnsi="Verdana"/>
                <w:b/>
              </w:rPr>
              <w:t>Was</w:t>
            </w:r>
          </w:p>
        </w:tc>
        <w:tc>
          <w:tcPr>
            <w:tcW w:w="5341" w:type="dxa"/>
            <w:shd w:val="clear" w:color="auto" w:fill="D9D9D9" w:themeFill="background1" w:themeFillShade="D9"/>
          </w:tcPr>
          <w:p w:rsidR="00C03041" w:rsidRPr="00C03041" w:rsidRDefault="00C03041" w:rsidP="00230739">
            <w:pPr>
              <w:jc w:val="center"/>
              <w:rPr>
                <w:rFonts w:ascii="Verdana" w:hAnsi="Verdana"/>
                <w:b/>
              </w:rPr>
            </w:pPr>
            <w:r w:rsidRPr="00C03041">
              <w:rPr>
                <w:rFonts w:ascii="Verdana" w:hAnsi="Verdana"/>
                <w:b/>
              </w:rPr>
              <w:t>Should be</w:t>
            </w:r>
          </w:p>
        </w:tc>
      </w:tr>
      <w:tr w:rsidR="00C03041" w:rsidTr="00C03041">
        <w:tc>
          <w:tcPr>
            <w:tcW w:w="5341" w:type="dxa"/>
          </w:tcPr>
          <w:p w:rsidR="00C03041" w:rsidRDefault="00C03041" w:rsidP="00230739">
            <w:pPr>
              <w:jc w:val="center"/>
              <w:rPr>
                <w:rFonts w:ascii="Verdana" w:hAnsi="Verdana"/>
              </w:rPr>
            </w:pPr>
            <w:r>
              <w:rPr>
                <w:rFonts w:ascii="Verdana" w:hAnsi="Verdana"/>
              </w:rPr>
              <w:t>Expected</w:t>
            </w:r>
          </w:p>
        </w:tc>
        <w:tc>
          <w:tcPr>
            <w:tcW w:w="5341" w:type="dxa"/>
          </w:tcPr>
          <w:p w:rsidR="00C03041" w:rsidRDefault="00C03041" w:rsidP="00230739">
            <w:pPr>
              <w:jc w:val="center"/>
              <w:rPr>
                <w:rFonts w:ascii="Verdana" w:hAnsi="Verdana"/>
              </w:rPr>
            </w:pPr>
            <w:r>
              <w:rPr>
                <w:rFonts w:ascii="Verdana" w:hAnsi="Verdana"/>
              </w:rPr>
              <w:t>Expected</w:t>
            </w:r>
          </w:p>
        </w:tc>
      </w:tr>
      <w:tr w:rsidR="00C03041" w:rsidTr="00C03041">
        <w:tc>
          <w:tcPr>
            <w:tcW w:w="5341" w:type="dxa"/>
          </w:tcPr>
          <w:p w:rsidR="00C03041" w:rsidRDefault="00C03041" w:rsidP="00230739">
            <w:pPr>
              <w:jc w:val="center"/>
              <w:rPr>
                <w:rFonts w:ascii="Verdana" w:hAnsi="Verdana"/>
              </w:rPr>
            </w:pPr>
            <w:r>
              <w:rPr>
                <w:rFonts w:ascii="Verdana" w:hAnsi="Verdana"/>
              </w:rPr>
              <w:t>Exceeding</w:t>
            </w:r>
          </w:p>
        </w:tc>
        <w:tc>
          <w:tcPr>
            <w:tcW w:w="5341" w:type="dxa"/>
          </w:tcPr>
          <w:p w:rsidR="00C03041" w:rsidRDefault="00C03041" w:rsidP="00230739">
            <w:pPr>
              <w:jc w:val="center"/>
              <w:rPr>
                <w:rFonts w:ascii="Verdana" w:hAnsi="Verdana"/>
              </w:rPr>
            </w:pPr>
            <w:r>
              <w:rPr>
                <w:rFonts w:ascii="Verdana" w:hAnsi="Verdana"/>
              </w:rPr>
              <w:t>Exceeding</w:t>
            </w:r>
          </w:p>
        </w:tc>
      </w:tr>
      <w:tr w:rsidR="00C03041" w:rsidTr="00C03041">
        <w:tc>
          <w:tcPr>
            <w:tcW w:w="5341" w:type="dxa"/>
          </w:tcPr>
          <w:p w:rsidR="00C03041" w:rsidRDefault="00C03041" w:rsidP="00230739">
            <w:pPr>
              <w:jc w:val="center"/>
              <w:rPr>
                <w:rFonts w:ascii="Verdana" w:hAnsi="Verdana"/>
              </w:rPr>
            </w:pPr>
            <w:r>
              <w:rPr>
                <w:rFonts w:ascii="Verdana" w:hAnsi="Verdana"/>
              </w:rPr>
              <w:t>Emerging</w:t>
            </w:r>
          </w:p>
        </w:tc>
        <w:tc>
          <w:tcPr>
            <w:tcW w:w="5341" w:type="dxa"/>
          </w:tcPr>
          <w:p w:rsidR="00C03041" w:rsidRDefault="00C03041" w:rsidP="00230739">
            <w:pPr>
              <w:jc w:val="center"/>
              <w:rPr>
                <w:rFonts w:ascii="Verdana" w:hAnsi="Verdana"/>
              </w:rPr>
            </w:pPr>
            <w:r>
              <w:rPr>
                <w:rFonts w:ascii="Verdana" w:hAnsi="Verdana"/>
              </w:rPr>
              <w:t>Expected</w:t>
            </w:r>
          </w:p>
        </w:tc>
      </w:tr>
    </w:tbl>
    <w:p w:rsidR="0017198C" w:rsidRDefault="0017198C" w:rsidP="00000DF0">
      <w:pPr>
        <w:jc w:val="both"/>
        <w:rPr>
          <w:rFonts w:ascii="Verdana" w:hAnsi="Verdana"/>
          <w:u w:val="single"/>
        </w:rPr>
      </w:pPr>
    </w:p>
    <w:p w:rsidR="00EE5EAE" w:rsidRDefault="00C20EE3" w:rsidP="00000DF0">
      <w:pPr>
        <w:jc w:val="both"/>
        <w:rPr>
          <w:rFonts w:ascii="Verdana" w:hAnsi="Verdana"/>
          <w:u w:val="single"/>
        </w:rPr>
      </w:pPr>
      <w:r w:rsidRPr="00C20EE3">
        <w:rPr>
          <w:rFonts w:ascii="Verdana" w:hAnsi="Verdana"/>
          <w:u w:val="single"/>
        </w:rPr>
        <w:t>Reading</w:t>
      </w:r>
    </w:p>
    <w:p w:rsidR="00317007" w:rsidRDefault="00D72630" w:rsidP="00000DF0">
      <w:pPr>
        <w:jc w:val="both"/>
        <w:rPr>
          <w:rFonts w:ascii="Verdana" w:hAnsi="Verdana"/>
        </w:rPr>
      </w:pPr>
      <w:r>
        <w:rPr>
          <w:rFonts w:ascii="Verdana" w:hAnsi="Verdana"/>
        </w:rPr>
        <w:t xml:space="preserve">On-going formative assessments kept in the Guided Reading folder are to be amalgamated and checked against the NAWKI reading criteria for an overall attainment </w:t>
      </w:r>
      <w:r w:rsidR="00317007">
        <w:rPr>
          <w:rFonts w:ascii="Verdana" w:hAnsi="Verdana"/>
        </w:rPr>
        <w:t>decision</w:t>
      </w:r>
      <w:r>
        <w:rPr>
          <w:rFonts w:ascii="Verdana" w:hAnsi="Verdana"/>
        </w:rPr>
        <w:t xml:space="preserve">. </w:t>
      </w:r>
      <w:r w:rsidRPr="0017198C">
        <w:rPr>
          <w:rFonts w:ascii="Verdana" w:hAnsi="Verdana"/>
        </w:rPr>
        <w:t>A record is to be kept per child.</w:t>
      </w:r>
      <w:r>
        <w:rPr>
          <w:rFonts w:ascii="Verdana" w:hAnsi="Verdana"/>
        </w:rPr>
        <w:t xml:space="preserve"> </w:t>
      </w:r>
    </w:p>
    <w:p w:rsidR="00D72630" w:rsidRDefault="00317007" w:rsidP="00000DF0">
      <w:pPr>
        <w:jc w:val="both"/>
        <w:rPr>
          <w:rFonts w:ascii="Verdana" w:hAnsi="Verdana"/>
        </w:rPr>
      </w:pPr>
      <w:r>
        <w:rPr>
          <w:rFonts w:ascii="Verdana" w:hAnsi="Verdana"/>
        </w:rPr>
        <w:t>Within EYFS and KS1, teachers can additionally record a child’s progress in reading using the book band colour document. This can also be used to make an overall attainment decision.</w:t>
      </w:r>
    </w:p>
    <w:p w:rsidR="00D72630" w:rsidRDefault="00D72630" w:rsidP="00000DF0">
      <w:pPr>
        <w:jc w:val="both"/>
        <w:rPr>
          <w:rFonts w:ascii="Verdana" w:hAnsi="Verdana"/>
          <w:u w:val="single"/>
        </w:rPr>
      </w:pPr>
      <w:r w:rsidRPr="00D72630">
        <w:rPr>
          <w:rFonts w:ascii="Verdana" w:hAnsi="Verdana"/>
          <w:u w:val="single"/>
        </w:rPr>
        <w:t xml:space="preserve">Writing  </w:t>
      </w:r>
    </w:p>
    <w:p w:rsidR="00D72630" w:rsidRDefault="00D72630" w:rsidP="00000DF0">
      <w:pPr>
        <w:jc w:val="both"/>
        <w:rPr>
          <w:rFonts w:ascii="Verdana" w:hAnsi="Verdana"/>
        </w:rPr>
      </w:pPr>
      <w:r w:rsidRPr="00D72630">
        <w:rPr>
          <w:rFonts w:ascii="Verdana" w:hAnsi="Verdana"/>
        </w:rPr>
        <w:t xml:space="preserve">Teachers to complete </w:t>
      </w:r>
      <w:r>
        <w:rPr>
          <w:rFonts w:ascii="Verdana" w:hAnsi="Verdana"/>
        </w:rPr>
        <w:t xml:space="preserve">the NAWKI tick sheet, </w:t>
      </w:r>
      <w:r w:rsidRPr="0017198C">
        <w:rPr>
          <w:rFonts w:ascii="Verdana" w:hAnsi="Verdana"/>
        </w:rPr>
        <w:t>one per child</w:t>
      </w:r>
      <w:r>
        <w:rPr>
          <w:rFonts w:ascii="Verdana" w:hAnsi="Verdana"/>
        </w:rPr>
        <w:t>, checking off the NAWKI writing criteria where enough evidence exists to underpin a secure assessment judgement. Judgements can be made including writing that has been supported but must include writing that has been completed independently. All children should have the opportunity to write with independence across every week having considered the strategic placement of additional adults.</w:t>
      </w:r>
    </w:p>
    <w:p w:rsidR="0017198C" w:rsidRDefault="0017198C" w:rsidP="00000DF0">
      <w:pPr>
        <w:jc w:val="both"/>
        <w:rPr>
          <w:rFonts w:ascii="Verdana" w:hAnsi="Verdana"/>
        </w:rPr>
      </w:pPr>
      <w:r>
        <w:rPr>
          <w:rFonts w:ascii="Verdana" w:hAnsi="Verdana"/>
        </w:rPr>
        <w:t xml:space="preserve">Where </w:t>
      </w:r>
      <w:r w:rsidR="008B689E">
        <w:rPr>
          <w:rFonts w:ascii="Verdana" w:hAnsi="Verdana"/>
        </w:rPr>
        <w:t xml:space="preserve">and when </w:t>
      </w:r>
      <w:r>
        <w:rPr>
          <w:rFonts w:ascii="Verdana" w:hAnsi="Verdana"/>
        </w:rPr>
        <w:t>appropriate, opportunities to write at a distance will be planned for to inform overall attainment judgements.</w:t>
      </w:r>
    </w:p>
    <w:p w:rsidR="00D72630" w:rsidRPr="00D72630" w:rsidRDefault="00D72630" w:rsidP="00000DF0">
      <w:pPr>
        <w:jc w:val="both"/>
        <w:rPr>
          <w:rFonts w:ascii="Verdana" w:hAnsi="Verdana"/>
          <w:u w:val="single"/>
        </w:rPr>
      </w:pPr>
      <w:r w:rsidRPr="00D72630">
        <w:rPr>
          <w:rFonts w:ascii="Verdana" w:hAnsi="Verdana"/>
          <w:u w:val="single"/>
        </w:rPr>
        <w:t>Maths</w:t>
      </w:r>
    </w:p>
    <w:p w:rsidR="00EE5EAE" w:rsidRDefault="00D72630" w:rsidP="00000DF0">
      <w:pPr>
        <w:jc w:val="both"/>
        <w:rPr>
          <w:rFonts w:ascii="Verdana" w:hAnsi="Verdana"/>
        </w:rPr>
      </w:pPr>
      <w:r w:rsidRPr="00D72630">
        <w:rPr>
          <w:rFonts w:ascii="Verdana" w:hAnsi="Verdana"/>
        </w:rPr>
        <w:t xml:space="preserve">Teachers to complete </w:t>
      </w:r>
      <w:r>
        <w:rPr>
          <w:rFonts w:ascii="Verdana" w:hAnsi="Verdana"/>
        </w:rPr>
        <w:t xml:space="preserve">the NAWKI tick sheet, </w:t>
      </w:r>
      <w:r w:rsidRPr="008B689E">
        <w:rPr>
          <w:rFonts w:ascii="Verdana" w:hAnsi="Verdana"/>
        </w:rPr>
        <w:t>one per child</w:t>
      </w:r>
      <w:r>
        <w:rPr>
          <w:rFonts w:ascii="Verdana" w:hAnsi="Verdana"/>
        </w:rPr>
        <w:t xml:space="preserve">, checking off the NAWKI maths criteria where enough evidence exists to underpin a secure assessment judgement. As for writing, the judgement must include independently completed pieces of learning. </w:t>
      </w:r>
    </w:p>
    <w:p w:rsidR="008B689E" w:rsidRDefault="008B689E" w:rsidP="00000DF0">
      <w:pPr>
        <w:jc w:val="both"/>
      </w:pPr>
      <w:r>
        <w:rPr>
          <w:rFonts w:ascii="Verdana" w:hAnsi="Verdana"/>
        </w:rPr>
        <w:t xml:space="preserve">Where and when appropriate, teachers may use the Inspire ‘Using and Applying’ questions, as well as a range of mastery questions </w:t>
      </w:r>
      <w:r w:rsidR="00EF4651">
        <w:rPr>
          <w:rFonts w:ascii="Verdana" w:hAnsi="Verdana"/>
        </w:rPr>
        <w:t xml:space="preserve">to inform attainment judgements. </w:t>
      </w:r>
    </w:p>
    <w:p w:rsidR="006E19C7" w:rsidRDefault="006E19C7" w:rsidP="00000DF0">
      <w:pPr>
        <w:jc w:val="both"/>
        <w:rPr>
          <w:rFonts w:ascii="Verdana" w:hAnsi="Verdana"/>
          <w:u w:val="single"/>
        </w:rPr>
      </w:pPr>
    </w:p>
    <w:p w:rsidR="006E19C7" w:rsidRDefault="006E19C7" w:rsidP="00000DF0">
      <w:pPr>
        <w:jc w:val="both"/>
        <w:rPr>
          <w:rFonts w:ascii="Verdana" w:hAnsi="Verdana"/>
          <w:u w:val="single"/>
        </w:rPr>
      </w:pPr>
    </w:p>
    <w:p w:rsidR="00D72630" w:rsidRPr="00D72630" w:rsidRDefault="00D72630" w:rsidP="00000DF0">
      <w:pPr>
        <w:jc w:val="both"/>
        <w:rPr>
          <w:rFonts w:ascii="Verdana" w:hAnsi="Verdana"/>
          <w:u w:val="single"/>
        </w:rPr>
      </w:pPr>
      <w:r w:rsidRPr="00EF4651">
        <w:rPr>
          <w:rFonts w:ascii="Verdana" w:hAnsi="Verdana"/>
          <w:u w:val="single"/>
        </w:rPr>
        <w:t>Science</w:t>
      </w:r>
    </w:p>
    <w:p w:rsidR="000A108F" w:rsidRPr="000A108F" w:rsidRDefault="000A108F" w:rsidP="00000DF0">
      <w:pPr>
        <w:jc w:val="both"/>
        <w:rPr>
          <w:rFonts w:ascii="Verdana" w:hAnsi="Verdana"/>
        </w:rPr>
      </w:pPr>
      <w:r>
        <w:rPr>
          <w:rFonts w:ascii="Verdana" w:hAnsi="Verdana"/>
        </w:rPr>
        <w:t>As t</w:t>
      </w:r>
      <w:r w:rsidR="00EF4651" w:rsidRPr="000A108F">
        <w:rPr>
          <w:rFonts w:ascii="Verdana" w:hAnsi="Verdana"/>
        </w:rPr>
        <w:t xml:space="preserve">eacher </w:t>
      </w:r>
      <w:r>
        <w:rPr>
          <w:rFonts w:ascii="Verdana" w:hAnsi="Verdana"/>
        </w:rPr>
        <w:t xml:space="preserve">assessment is used to assess pupil attainment at the end of Key Stage 2, </w:t>
      </w:r>
      <w:r w:rsidR="00BE4FD8">
        <w:rPr>
          <w:rFonts w:ascii="Verdana" w:hAnsi="Verdana"/>
        </w:rPr>
        <w:t xml:space="preserve">teachers will mirror this practice and </w:t>
      </w:r>
      <w:r>
        <w:rPr>
          <w:rFonts w:ascii="Verdana" w:hAnsi="Verdana"/>
        </w:rPr>
        <w:t>judgements about attainment in Science</w:t>
      </w:r>
      <w:r w:rsidR="00BE4FD8">
        <w:rPr>
          <w:rFonts w:ascii="Verdana" w:hAnsi="Verdana"/>
        </w:rPr>
        <w:t xml:space="preserve"> for each year group</w:t>
      </w:r>
      <w:r>
        <w:rPr>
          <w:rFonts w:ascii="Verdana" w:hAnsi="Verdana"/>
        </w:rPr>
        <w:t xml:space="preserve"> will be made at the end of the academic year for 2016-2017. </w:t>
      </w:r>
    </w:p>
    <w:p w:rsidR="00317007" w:rsidRDefault="00317007" w:rsidP="00000DF0">
      <w:pPr>
        <w:jc w:val="both"/>
        <w:rPr>
          <w:rFonts w:ascii="Verdana" w:hAnsi="Verdana"/>
          <w:u w:val="single"/>
        </w:rPr>
      </w:pPr>
      <w:r w:rsidRPr="00317007">
        <w:rPr>
          <w:rFonts w:ascii="Verdana" w:hAnsi="Verdana"/>
          <w:u w:val="single"/>
        </w:rPr>
        <w:t>Phonics</w:t>
      </w:r>
    </w:p>
    <w:p w:rsidR="00317007" w:rsidRDefault="00317007" w:rsidP="00000DF0">
      <w:pPr>
        <w:jc w:val="both"/>
        <w:rPr>
          <w:rFonts w:ascii="Verdana" w:hAnsi="Verdana"/>
        </w:rPr>
      </w:pPr>
      <w:r w:rsidRPr="00317007">
        <w:rPr>
          <w:rFonts w:ascii="Verdana" w:hAnsi="Verdana"/>
        </w:rPr>
        <w:lastRenderedPageBreak/>
        <w:t xml:space="preserve">RWInc. assessments </w:t>
      </w:r>
      <w:r>
        <w:rPr>
          <w:rFonts w:ascii="Verdana" w:hAnsi="Verdana"/>
        </w:rPr>
        <w:t xml:space="preserve">take place half termly to ensure children are in the group that best meets their needs. </w:t>
      </w:r>
    </w:p>
    <w:p w:rsidR="00C03041" w:rsidRDefault="00317007" w:rsidP="00000DF0">
      <w:pPr>
        <w:jc w:val="both"/>
        <w:rPr>
          <w:rFonts w:ascii="Verdana" w:hAnsi="Verdana"/>
        </w:rPr>
      </w:pPr>
      <w:r>
        <w:rPr>
          <w:rFonts w:ascii="Verdana" w:hAnsi="Verdana"/>
        </w:rPr>
        <w:t xml:space="preserve">Teachers are to record the RWInc. assessments on the tracking sheet which can be passed from teacher to teacher during transition. </w:t>
      </w:r>
    </w:p>
    <w:p w:rsidR="00BE4FD8" w:rsidRPr="00BE4FD8" w:rsidRDefault="00BE4FD8" w:rsidP="00000DF0">
      <w:pPr>
        <w:jc w:val="both"/>
        <w:rPr>
          <w:rFonts w:ascii="Verdana" w:hAnsi="Verdana"/>
          <w:u w:val="single"/>
        </w:rPr>
      </w:pPr>
      <w:r w:rsidRPr="00BE4FD8">
        <w:rPr>
          <w:rFonts w:ascii="Verdana" w:hAnsi="Verdana"/>
          <w:u w:val="single"/>
        </w:rPr>
        <w:t>EYFS</w:t>
      </w:r>
    </w:p>
    <w:p w:rsidR="00BE4FD8" w:rsidRDefault="00BE4FD8" w:rsidP="00000DF0">
      <w:pPr>
        <w:jc w:val="both"/>
        <w:rPr>
          <w:rFonts w:ascii="Verdana" w:hAnsi="Verdana"/>
        </w:rPr>
      </w:pPr>
      <w:r>
        <w:rPr>
          <w:rFonts w:ascii="Verdana" w:hAnsi="Verdana"/>
        </w:rPr>
        <w:t xml:space="preserve">Assessments of an individual child’s progress towards an early learning goal will be made and recorded using the 2Simple programme ‘2build a profile’. </w:t>
      </w:r>
      <w:r w:rsidR="000A1EFC">
        <w:rPr>
          <w:rFonts w:ascii="Verdana" w:hAnsi="Verdana"/>
        </w:rPr>
        <w:t>Continual and on-going o</w:t>
      </w:r>
      <w:r>
        <w:rPr>
          <w:rFonts w:ascii="Verdana" w:hAnsi="Verdana"/>
        </w:rPr>
        <w:t xml:space="preserve">bservations </w:t>
      </w:r>
      <w:r w:rsidR="000A1EFC">
        <w:rPr>
          <w:rFonts w:ascii="Verdana" w:hAnsi="Verdana"/>
        </w:rPr>
        <w:t xml:space="preserve">and evidence gathering </w:t>
      </w:r>
      <w:r w:rsidR="00000DF0">
        <w:rPr>
          <w:rFonts w:ascii="Verdana" w:hAnsi="Verdana"/>
        </w:rPr>
        <w:t xml:space="preserve">of pupils </w:t>
      </w:r>
      <w:r>
        <w:rPr>
          <w:rFonts w:ascii="Verdana" w:hAnsi="Verdana"/>
        </w:rPr>
        <w:t xml:space="preserve">are made by </w:t>
      </w:r>
      <w:r w:rsidR="00000DF0">
        <w:rPr>
          <w:rFonts w:ascii="Verdana" w:hAnsi="Verdana"/>
        </w:rPr>
        <w:t xml:space="preserve">all staff working within the foundation stage (Class 1) which inform overall summative assessment judgements. </w:t>
      </w:r>
    </w:p>
    <w:p w:rsidR="00317007" w:rsidRPr="00317007" w:rsidRDefault="00317007" w:rsidP="00000DF0">
      <w:pPr>
        <w:jc w:val="both"/>
        <w:rPr>
          <w:rFonts w:ascii="Verdana" w:hAnsi="Verdana"/>
          <w:u w:val="single"/>
        </w:rPr>
      </w:pPr>
      <w:r w:rsidRPr="00317007">
        <w:rPr>
          <w:rFonts w:ascii="Verdana" w:hAnsi="Verdana"/>
          <w:u w:val="single"/>
        </w:rPr>
        <w:t>Summative data</w:t>
      </w:r>
    </w:p>
    <w:p w:rsidR="00317007" w:rsidRDefault="00E43155" w:rsidP="00000DF0">
      <w:pPr>
        <w:jc w:val="both"/>
        <w:rPr>
          <w:rFonts w:ascii="Verdana" w:hAnsi="Verdana"/>
        </w:rPr>
      </w:pPr>
      <w:r>
        <w:rPr>
          <w:rFonts w:ascii="Verdana" w:hAnsi="Verdana"/>
        </w:rPr>
        <w:t xml:space="preserve">All assessment decisions are to be passed to </w:t>
      </w:r>
      <w:r w:rsidR="007F47D9">
        <w:rPr>
          <w:rFonts w:ascii="Verdana" w:hAnsi="Verdana"/>
        </w:rPr>
        <w:t>SLT</w:t>
      </w:r>
      <w:r>
        <w:rPr>
          <w:rFonts w:ascii="Verdana" w:hAnsi="Verdana"/>
        </w:rPr>
        <w:t xml:space="preserve"> who will enter them </w:t>
      </w:r>
      <w:r w:rsidR="007F47D9">
        <w:rPr>
          <w:rFonts w:ascii="Verdana" w:hAnsi="Verdana"/>
        </w:rPr>
        <w:t>onto</w:t>
      </w:r>
      <w:r>
        <w:rPr>
          <w:rFonts w:ascii="Verdana" w:hAnsi="Verdana"/>
        </w:rPr>
        <w:t xml:space="preserve"> the Excel progress tracking document. The data is </w:t>
      </w:r>
      <w:r w:rsidR="00856234">
        <w:rPr>
          <w:rFonts w:ascii="Verdana" w:hAnsi="Verdana"/>
        </w:rPr>
        <w:t xml:space="preserve">then </w:t>
      </w:r>
      <w:r>
        <w:rPr>
          <w:rFonts w:ascii="Verdana" w:hAnsi="Verdana"/>
        </w:rPr>
        <w:t xml:space="preserve">used for a variety of reasons: </w:t>
      </w:r>
    </w:p>
    <w:p w:rsidR="00E43155" w:rsidRDefault="00E43155" w:rsidP="00000DF0">
      <w:pPr>
        <w:pStyle w:val="ListParagraph"/>
        <w:numPr>
          <w:ilvl w:val="0"/>
          <w:numId w:val="6"/>
        </w:numPr>
        <w:jc w:val="both"/>
        <w:rPr>
          <w:rFonts w:ascii="Verdana" w:hAnsi="Verdana"/>
        </w:rPr>
      </w:pPr>
      <w:r>
        <w:rPr>
          <w:rFonts w:ascii="Verdana" w:hAnsi="Verdana"/>
        </w:rPr>
        <w:t>Identify where intervention is needed</w:t>
      </w:r>
      <w:r w:rsidR="00856234">
        <w:rPr>
          <w:rFonts w:ascii="Verdana" w:hAnsi="Verdana"/>
        </w:rPr>
        <w:t xml:space="preserve"> if age-related expectations are not being met</w:t>
      </w:r>
    </w:p>
    <w:p w:rsidR="00E43155" w:rsidRDefault="00E43155" w:rsidP="00000DF0">
      <w:pPr>
        <w:pStyle w:val="ListParagraph"/>
        <w:numPr>
          <w:ilvl w:val="0"/>
          <w:numId w:val="6"/>
        </w:numPr>
        <w:jc w:val="both"/>
        <w:rPr>
          <w:rFonts w:ascii="Verdana" w:hAnsi="Verdana"/>
        </w:rPr>
      </w:pPr>
      <w:r>
        <w:rPr>
          <w:rFonts w:ascii="Verdana" w:hAnsi="Verdana"/>
        </w:rPr>
        <w:t>Identify which children are in need of stretching</w:t>
      </w:r>
    </w:p>
    <w:p w:rsidR="00856234" w:rsidRDefault="00856234" w:rsidP="00000DF0">
      <w:pPr>
        <w:pStyle w:val="ListParagraph"/>
        <w:numPr>
          <w:ilvl w:val="0"/>
          <w:numId w:val="6"/>
        </w:numPr>
        <w:jc w:val="both"/>
        <w:rPr>
          <w:rFonts w:ascii="Verdana" w:hAnsi="Verdana"/>
        </w:rPr>
      </w:pPr>
      <w:r>
        <w:rPr>
          <w:rFonts w:ascii="Verdana" w:hAnsi="Verdana"/>
        </w:rPr>
        <w:t>Monitor our vulnerable groups</w:t>
      </w:r>
    </w:p>
    <w:p w:rsidR="00856234" w:rsidRDefault="00856234" w:rsidP="00000DF0">
      <w:pPr>
        <w:pStyle w:val="ListParagraph"/>
        <w:numPr>
          <w:ilvl w:val="0"/>
          <w:numId w:val="6"/>
        </w:numPr>
        <w:jc w:val="both"/>
        <w:rPr>
          <w:rFonts w:ascii="Verdana" w:hAnsi="Verdana"/>
        </w:rPr>
      </w:pPr>
      <w:r>
        <w:rPr>
          <w:rFonts w:ascii="Verdana" w:hAnsi="Verdana"/>
        </w:rPr>
        <w:t>Use as evidence for SEND reasons</w:t>
      </w:r>
    </w:p>
    <w:p w:rsidR="00856234" w:rsidRDefault="00856234" w:rsidP="00000DF0">
      <w:pPr>
        <w:pStyle w:val="ListParagraph"/>
        <w:numPr>
          <w:ilvl w:val="0"/>
          <w:numId w:val="6"/>
        </w:numPr>
        <w:jc w:val="both"/>
        <w:rPr>
          <w:rFonts w:ascii="Verdana" w:hAnsi="Verdana"/>
        </w:rPr>
      </w:pPr>
      <w:r>
        <w:rPr>
          <w:rFonts w:ascii="Verdana" w:hAnsi="Verdana"/>
        </w:rPr>
        <w:t xml:space="preserve">Ensure consistent and continual progress is being made by all </w:t>
      </w:r>
    </w:p>
    <w:p w:rsidR="00856234" w:rsidRDefault="00856234" w:rsidP="00000DF0">
      <w:pPr>
        <w:pStyle w:val="ListParagraph"/>
        <w:numPr>
          <w:ilvl w:val="0"/>
          <w:numId w:val="6"/>
        </w:numPr>
        <w:jc w:val="both"/>
        <w:rPr>
          <w:rFonts w:ascii="Verdana" w:hAnsi="Verdana"/>
        </w:rPr>
      </w:pPr>
      <w:r>
        <w:rPr>
          <w:rFonts w:ascii="Verdana" w:hAnsi="Verdana"/>
        </w:rPr>
        <w:t>To report to stakeholders, including governors who receive data across the year</w:t>
      </w:r>
    </w:p>
    <w:p w:rsidR="00856234" w:rsidRDefault="00856234" w:rsidP="00000DF0">
      <w:pPr>
        <w:pStyle w:val="ListParagraph"/>
        <w:numPr>
          <w:ilvl w:val="0"/>
          <w:numId w:val="6"/>
        </w:numPr>
        <w:jc w:val="both"/>
        <w:rPr>
          <w:rFonts w:ascii="Verdana" w:hAnsi="Verdana"/>
        </w:rPr>
      </w:pPr>
      <w:r>
        <w:rPr>
          <w:rFonts w:ascii="Verdana" w:hAnsi="Verdana"/>
        </w:rPr>
        <w:t>To inform pupil progress meetings between SLT and class teachers</w:t>
      </w:r>
    </w:p>
    <w:p w:rsidR="000D6296" w:rsidRDefault="000D6296" w:rsidP="00000DF0">
      <w:pPr>
        <w:pStyle w:val="ListParagraph"/>
        <w:numPr>
          <w:ilvl w:val="0"/>
          <w:numId w:val="6"/>
        </w:numPr>
        <w:jc w:val="both"/>
        <w:rPr>
          <w:rFonts w:ascii="Verdana" w:hAnsi="Verdana"/>
        </w:rPr>
      </w:pPr>
      <w:r>
        <w:rPr>
          <w:rFonts w:ascii="Verdana" w:hAnsi="Verdana"/>
        </w:rPr>
        <w:t>For subject leaders to inform their understanding of progress and attainment within their subject and act on this</w:t>
      </w:r>
    </w:p>
    <w:p w:rsidR="00856234" w:rsidRPr="00856234" w:rsidRDefault="00856234" w:rsidP="00000DF0">
      <w:pPr>
        <w:jc w:val="both"/>
        <w:rPr>
          <w:rFonts w:ascii="Verdana" w:hAnsi="Verdana"/>
          <w:u w:val="single"/>
        </w:rPr>
      </w:pPr>
      <w:r w:rsidRPr="00856234">
        <w:rPr>
          <w:rFonts w:ascii="Verdana" w:hAnsi="Verdana"/>
          <w:u w:val="single"/>
        </w:rPr>
        <w:t>Reporting arrangements</w:t>
      </w:r>
    </w:p>
    <w:p w:rsidR="00856234" w:rsidRDefault="00856234" w:rsidP="00000DF0">
      <w:pPr>
        <w:jc w:val="both"/>
        <w:rPr>
          <w:rFonts w:ascii="Verdana" w:hAnsi="Verdana"/>
        </w:rPr>
      </w:pPr>
      <w:r>
        <w:rPr>
          <w:rFonts w:ascii="Verdana" w:hAnsi="Verdana"/>
        </w:rPr>
        <w:t>Families have two face-to-face meetings throughout the year where the class teacher can offer a</w:t>
      </w:r>
      <w:r w:rsidR="00075C66">
        <w:rPr>
          <w:rFonts w:ascii="Verdana" w:hAnsi="Verdana"/>
        </w:rPr>
        <w:t>n</w:t>
      </w:r>
      <w:r>
        <w:rPr>
          <w:rFonts w:ascii="Verdana" w:hAnsi="Verdana"/>
        </w:rPr>
        <w:t xml:space="preserve"> assessment judgement using the language of NAWKI i.e. emerging, expected, </w:t>
      </w:r>
      <w:r w:rsidR="006E19C7">
        <w:rPr>
          <w:rFonts w:ascii="Verdana" w:hAnsi="Verdana"/>
        </w:rPr>
        <w:t>and exceeding</w:t>
      </w:r>
      <w:r>
        <w:rPr>
          <w:rFonts w:ascii="Verdana" w:hAnsi="Verdana"/>
        </w:rPr>
        <w:t xml:space="preserve">. </w:t>
      </w:r>
    </w:p>
    <w:p w:rsidR="00856234" w:rsidRDefault="00856234" w:rsidP="00000DF0">
      <w:pPr>
        <w:jc w:val="both"/>
        <w:rPr>
          <w:rFonts w:ascii="Verdana" w:hAnsi="Verdana"/>
        </w:rPr>
      </w:pPr>
      <w:r>
        <w:rPr>
          <w:rFonts w:ascii="Verdana" w:hAnsi="Verdana"/>
        </w:rPr>
        <w:t>Families also receive an end of year written report that includes a statement for reading, writing and maths explaining whether the</w:t>
      </w:r>
      <w:r w:rsidR="000D6296">
        <w:rPr>
          <w:rFonts w:ascii="Verdana" w:hAnsi="Verdana"/>
        </w:rPr>
        <w:t>ir</w:t>
      </w:r>
      <w:r>
        <w:rPr>
          <w:rFonts w:ascii="Verdana" w:hAnsi="Verdana"/>
        </w:rPr>
        <w:t xml:space="preserve"> child is working below, at or above age related expectation. </w:t>
      </w:r>
    </w:p>
    <w:p w:rsidR="000D6296" w:rsidRPr="000D6296" w:rsidRDefault="000D6296" w:rsidP="00856234">
      <w:pPr>
        <w:rPr>
          <w:rFonts w:ascii="Verdana" w:hAnsi="Verdana"/>
          <w:u w:val="single"/>
        </w:rPr>
      </w:pPr>
      <w:r w:rsidRPr="00BB7895">
        <w:rPr>
          <w:rFonts w:ascii="Verdana" w:hAnsi="Verdana"/>
          <w:u w:val="single"/>
        </w:rPr>
        <w:t>Target Stickers</w:t>
      </w:r>
    </w:p>
    <w:p w:rsidR="000D6296" w:rsidRDefault="00F864AB" w:rsidP="00F864AB">
      <w:pPr>
        <w:jc w:val="both"/>
        <w:rPr>
          <w:rFonts w:ascii="Verdana" w:hAnsi="Verdana"/>
        </w:rPr>
      </w:pPr>
      <w:r>
        <w:rPr>
          <w:rFonts w:ascii="Verdana" w:hAnsi="Verdana"/>
        </w:rPr>
        <w:t xml:space="preserve">Based on teacher formative assessment, with a view to inform future learning, children will be given one of three differentiated stickers with a next-step target for them to work towards achieving in writing and maths. These targets will change three times a year and will reflect an objective from the National Curriculum which is deemed by the teacher, to be an area for development for the whole class. </w:t>
      </w:r>
    </w:p>
    <w:p w:rsidR="000D6296" w:rsidRPr="00856234" w:rsidRDefault="000D6296" w:rsidP="00856234">
      <w:pPr>
        <w:rPr>
          <w:rFonts w:ascii="Verdana" w:hAnsi="Verdana"/>
        </w:rPr>
      </w:pPr>
    </w:p>
    <w:p w:rsidR="00317007" w:rsidRDefault="000D6296">
      <w:pPr>
        <w:rPr>
          <w:rFonts w:ascii="Verdana" w:hAnsi="Verdana"/>
          <w:b/>
          <w:u w:val="single"/>
        </w:rPr>
      </w:pPr>
      <w:r w:rsidRPr="000D6296">
        <w:rPr>
          <w:rFonts w:ascii="Verdana" w:hAnsi="Verdana"/>
          <w:b/>
          <w:u w:val="single"/>
        </w:rPr>
        <w:t>A role for everyone</w:t>
      </w:r>
    </w:p>
    <w:tbl>
      <w:tblPr>
        <w:tblStyle w:val="TableGrid"/>
        <w:tblW w:w="0" w:type="auto"/>
        <w:tblLook w:val="04A0" w:firstRow="1" w:lastRow="0" w:firstColumn="1" w:lastColumn="0" w:noHBand="0" w:noVBand="1"/>
      </w:tblPr>
      <w:tblGrid>
        <w:gridCol w:w="2068"/>
        <w:gridCol w:w="8388"/>
      </w:tblGrid>
      <w:tr w:rsidR="000D6296" w:rsidTr="009A5AEF">
        <w:tc>
          <w:tcPr>
            <w:tcW w:w="2093" w:type="dxa"/>
            <w:shd w:val="clear" w:color="auto" w:fill="D9D9D9" w:themeFill="background1" w:themeFillShade="D9"/>
          </w:tcPr>
          <w:p w:rsidR="000D6296" w:rsidRPr="000D6296" w:rsidRDefault="000D6296" w:rsidP="000D6296">
            <w:pPr>
              <w:jc w:val="center"/>
              <w:rPr>
                <w:rFonts w:ascii="Verdana" w:hAnsi="Verdana"/>
                <w:b/>
              </w:rPr>
            </w:pPr>
            <w:r w:rsidRPr="000D6296">
              <w:rPr>
                <w:rFonts w:ascii="Verdana" w:hAnsi="Verdana"/>
                <w:b/>
              </w:rPr>
              <w:t>Who?</w:t>
            </w:r>
          </w:p>
        </w:tc>
        <w:tc>
          <w:tcPr>
            <w:tcW w:w="8589" w:type="dxa"/>
            <w:shd w:val="clear" w:color="auto" w:fill="D9D9D9" w:themeFill="background1" w:themeFillShade="D9"/>
          </w:tcPr>
          <w:p w:rsidR="000D6296" w:rsidRPr="000D6296" w:rsidRDefault="000D6296" w:rsidP="000D6296">
            <w:pPr>
              <w:jc w:val="center"/>
              <w:rPr>
                <w:rFonts w:ascii="Verdana" w:hAnsi="Verdana"/>
                <w:b/>
              </w:rPr>
            </w:pPr>
            <w:r w:rsidRPr="000D6296">
              <w:rPr>
                <w:rFonts w:ascii="Verdana" w:hAnsi="Verdana"/>
                <w:b/>
              </w:rPr>
              <w:t>R</w:t>
            </w:r>
            <w:r>
              <w:rPr>
                <w:rFonts w:ascii="Verdana" w:hAnsi="Verdana"/>
                <w:b/>
              </w:rPr>
              <w:t>oles</w:t>
            </w:r>
          </w:p>
        </w:tc>
      </w:tr>
      <w:tr w:rsidR="000D6296" w:rsidTr="009A5AEF">
        <w:tc>
          <w:tcPr>
            <w:tcW w:w="2093" w:type="dxa"/>
          </w:tcPr>
          <w:p w:rsidR="000D6296" w:rsidRPr="000D6296" w:rsidRDefault="000D6296" w:rsidP="000D6296">
            <w:pPr>
              <w:rPr>
                <w:rFonts w:ascii="Verdana" w:hAnsi="Verdana"/>
              </w:rPr>
            </w:pPr>
            <w:r w:rsidRPr="000D6296">
              <w:rPr>
                <w:rFonts w:ascii="Verdana" w:hAnsi="Verdana"/>
              </w:rPr>
              <w:t xml:space="preserve">Children </w:t>
            </w:r>
          </w:p>
        </w:tc>
        <w:tc>
          <w:tcPr>
            <w:tcW w:w="8589" w:type="dxa"/>
          </w:tcPr>
          <w:p w:rsidR="000D6296" w:rsidRPr="000D6296" w:rsidRDefault="000D6296" w:rsidP="000D6296">
            <w:pPr>
              <w:pStyle w:val="ListParagraph"/>
              <w:numPr>
                <w:ilvl w:val="0"/>
                <w:numId w:val="7"/>
              </w:numPr>
              <w:rPr>
                <w:rFonts w:ascii="Verdana" w:hAnsi="Verdana"/>
              </w:rPr>
            </w:pPr>
            <w:r w:rsidRPr="000D6296">
              <w:rPr>
                <w:rFonts w:ascii="Verdana" w:hAnsi="Verdana"/>
              </w:rPr>
              <w:t xml:space="preserve">To know their strengths </w:t>
            </w:r>
          </w:p>
          <w:p w:rsidR="000D6296" w:rsidRPr="000D6296" w:rsidRDefault="000D6296" w:rsidP="000D6296">
            <w:pPr>
              <w:pStyle w:val="ListParagraph"/>
              <w:numPr>
                <w:ilvl w:val="0"/>
                <w:numId w:val="7"/>
              </w:numPr>
              <w:rPr>
                <w:rFonts w:ascii="Verdana" w:hAnsi="Verdana"/>
                <w:b/>
                <w:u w:val="single"/>
              </w:rPr>
            </w:pPr>
            <w:r w:rsidRPr="000D6296">
              <w:rPr>
                <w:rFonts w:ascii="Verdana" w:hAnsi="Verdana"/>
              </w:rPr>
              <w:t>To know their areas for development and how they might achieve these</w:t>
            </w:r>
          </w:p>
        </w:tc>
      </w:tr>
      <w:tr w:rsidR="000D6296" w:rsidTr="009A5AEF">
        <w:tc>
          <w:tcPr>
            <w:tcW w:w="2093" w:type="dxa"/>
          </w:tcPr>
          <w:p w:rsidR="000D6296" w:rsidRPr="000D6296" w:rsidRDefault="000D6296">
            <w:pPr>
              <w:rPr>
                <w:rFonts w:ascii="Verdana" w:hAnsi="Verdana"/>
              </w:rPr>
            </w:pPr>
            <w:r w:rsidRPr="000D6296">
              <w:rPr>
                <w:rFonts w:ascii="Verdana" w:hAnsi="Verdana"/>
              </w:rPr>
              <w:t>Support Staff</w:t>
            </w:r>
          </w:p>
        </w:tc>
        <w:tc>
          <w:tcPr>
            <w:tcW w:w="8589" w:type="dxa"/>
          </w:tcPr>
          <w:p w:rsidR="000D6296" w:rsidRDefault="0077609F" w:rsidP="000D6296">
            <w:pPr>
              <w:pStyle w:val="ListParagraph"/>
              <w:numPr>
                <w:ilvl w:val="0"/>
                <w:numId w:val="7"/>
              </w:numPr>
              <w:rPr>
                <w:rFonts w:ascii="Verdana" w:hAnsi="Verdana"/>
              </w:rPr>
            </w:pPr>
            <w:r w:rsidRPr="0077609F">
              <w:rPr>
                <w:rFonts w:ascii="Verdana" w:hAnsi="Verdana"/>
              </w:rPr>
              <w:t>To use the planning to know which children have been targeted</w:t>
            </w:r>
            <w:r>
              <w:rPr>
                <w:rFonts w:ascii="Verdana" w:hAnsi="Verdana"/>
              </w:rPr>
              <w:t xml:space="preserve"> for support/stretch every lesson</w:t>
            </w:r>
          </w:p>
          <w:p w:rsidR="0077609F" w:rsidRPr="0077609F" w:rsidRDefault="0077609F" w:rsidP="000D6296">
            <w:pPr>
              <w:pStyle w:val="ListParagraph"/>
              <w:numPr>
                <w:ilvl w:val="0"/>
                <w:numId w:val="7"/>
              </w:numPr>
              <w:rPr>
                <w:rFonts w:ascii="Verdana" w:hAnsi="Verdana"/>
              </w:rPr>
            </w:pPr>
            <w:r>
              <w:rPr>
                <w:rFonts w:ascii="Verdana" w:hAnsi="Verdana"/>
              </w:rPr>
              <w:lastRenderedPageBreak/>
              <w:t>To support in the use of different strategies, methods and resources</w:t>
            </w:r>
            <w:r w:rsidR="00F94E39">
              <w:rPr>
                <w:rFonts w:ascii="Verdana" w:hAnsi="Verdana"/>
              </w:rPr>
              <w:t xml:space="preserve"> to support/stretch </w:t>
            </w:r>
          </w:p>
        </w:tc>
      </w:tr>
      <w:tr w:rsidR="000D6296" w:rsidTr="009A5AEF">
        <w:tc>
          <w:tcPr>
            <w:tcW w:w="2093" w:type="dxa"/>
          </w:tcPr>
          <w:p w:rsidR="000D6296" w:rsidRPr="000D6296" w:rsidRDefault="000D6296">
            <w:pPr>
              <w:rPr>
                <w:rFonts w:ascii="Verdana" w:hAnsi="Verdana"/>
              </w:rPr>
            </w:pPr>
            <w:r w:rsidRPr="000D6296">
              <w:rPr>
                <w:rFonts w:ascii="Verdana" w:hAnsi="Verdana"/>
              </w:rPr>
              <w:lastRenderedPageBreak/>
              <w:t>Teachers</w:t>
            </w:r>
          </w:p>
        </w:tc>
        <w:tc>
          <w:tcPr>
            <w:tcW w:w="8589" w:type="dxa"/>
          </w:tcPr>
          <w:p w:rsidR="000D6296" w:rsidRDefault="000D6296" w:rsidP="000D6296">
            <w:pPr>
              <w:pStyle w:val="ListParagraph"/>
              <w:numPr>
                <w:ilvl w:val="0"/>
                <w:numId w:val="7"/>
              </w:numPr>
              <w:rPr>
                <w:rFonts w:ascii="Verdana" w:hAnsi="Verdana"/>
              </w:rPr>
            </w:pPr>
            <w:r w:rsidRPr="000D6296">
              <w:rPr>
                <w:rFonts w:ascii="Verdana" w:hAnsi="Verdana"/>
              </w:rPr>
              <w:t xml:space="preserve">To use a range of </w:t>
            </w:r>
            <w:r>
              <w:rPr>
                <w:rFonts w:ascii="Verdana" w:hAnsi="Verdana"/>
              </w:rPr>
              <w:t xml:space="preserve">assessment techniques within the classroom </w:t>
            </w:r>
          </w:p>
          <w:p w:rsidR="000D6296" w:rsidRDefault="000D6296" w:rsidP="000D6296">
            <w:pPr>
              <w:pStyle w:val="ListParagraph"/>
              <w:numPr>
                <w:ilvl w:val="0"/>
                <w:numId w:val="7"/>
              </w:numPr>
              <w:rPr>
                <w:rFonts w:ascii="Verdana" w:hAnsi="Verdana"/>
              </w:rPr>
            </w:pPr>
            <w:r>
              <w:rPr>
                <w:rFonts w:ascii="Verdana" w:hAnsi="Verdana"/>
              </w:rPr>
              <w:t>To ensure up-to-date record keeping is kept, meeting deadlines for when data is due in</w:t>
            </w:r>
          </w:p>
          <w:p w:rsidR="000D6296" w:rsidRDefault="000D6296" w:rsidP="000D6296">
            <w:pPr>
              <w:pStyle w:val="ListParagraph"/>
              <w:numPr>
                <w:ilvl w:val="0"/>
                <w:numId w:val="7"/>
              </w:numPr>
              <w:rPr>
                <w:rFonts w:ascii="Verdana" w:hAnsi="Verdana"/>
              </w:rPr>
            </w:pPr>
            <w:r>
              <w:rPr>
                <w:rFonts w:ascii="Verdana" w:hAnsi="Verdana"/>
              </w:rPr>
              <w:t>To ensure planning is meeting the needs of all children</w:t>
            </w:r>
          </w:p>
          <w:p w:rsidR="000D6296" w:rsidRDefault="000D6296" w:rsidP="000D6296">
            <w:pPr>
              <w:pStyle w:val="ListParagraph"/>
              <w:numPr>
                <w:ilvl w:val="0"/>
                <w:numId w:val="7"/>
              </w:numPr>
              <w:rPr>
                <w:rFonts w:ascii="Verdana" w:hAnsi="Verdana"/>
              </w:rPr>
            </w:pPr>
            <w:r>
              <w:rPr>
                <w:rFonts w:ascii="Verdana" w:hAnsi="Verdana"/>
              </w:rPr>
              <w:t xml:space="preserve">To appropriately report </w:t>
            </w:r>
            <w:r w:rsidR="009A5AEF">
              <w:rPr>
                <w:rFonts w:ascii="Verdana" w:hAnsi="Verdana"/>
              </w:rPr>
              <w:t xml:space="preserve">assessment information to parents </w:t>
            </w:r>
          </w:p>
          <w:p w:rsidR="009A5AEF" w:rsidRDefault="009A5AEF" w:rsidP="000D6296">
            <w:pPr>
              <w:pStyle w:val="ListParagraph"/>
              <w:numPr>
                <w:ilvl w:val="0"/>
                <w:numId w:val="7"/>
              </w:numPr>
              <w:rPr>
                <w:rFonts w:ascii="Verdana" w:hAnsi="Verdana"/>
              </w:rPr>
            </w:pPr>
            <w:r>
              <w:rPr>
                <w:rFonts w:ascii="Verdana" w:hAnsi="Verdana"/>
              </w:rPr>
              <w:t xml:space="preserve">To attend moderation sessions </w:t>
            </w:r>
          </w:p>
          <w:p w:rsidR="0077609F" w:rsidRPr="000D6296" w:rsidRDefault="0077609F" w:rsidP="000D6296">
            <w:pPr>
              <w:pStyle w:val="ListParagraph"/>
              <w:numPr>
                <w:ilvl w:val="0"/>
                <w:numId w:val="7"/>
              </w:numPr>
              <w:rPr>
                <w:rFonts w:ascii="Verdana" w:hAnsi="Verdana"/>
              </w:rPr>
            </w:pPr>
            <w:r>
              <w:rPr>
                <w:rFonts w:ascii="Verdana" w:hAnsi="Verdana"/>
              </w:rPr>
              <w:t>To use formative assessment to inform IEP annotations</w:t>
            </w:r>
          </w:p>
        </w:tc>
      </w:tr>
      <w:tr w:rsidR="000D6296" w:rsidTr="009A5AEF">
        <w:tc>
          <w:tcPr>
            <w:tcW w:w="2093" w:type="dxa"/>
          </w:tcPr>
          <w:p w:rsidR="000D6296" w:rsidRPr="000D6296" w:rsidRDefault="000D6296">
            <w:pPr>
              <w:rPr>
                <w:rFonts w:ascii="Verdana" w:hAnsi="Verdana"/>
              </w:rPr>
            </w:pPr>
            <w:r w:rsidRPr="000D6296">
              <w:rPr>
                <w:rFonts w:ascii="Verdana" w:hAnsi="Verdana"/>
              </w:rPr>
              <w:t>Subject Leaders</w:t>
            </w:r>
          </w:p>
        </w:tc>
        <w:tc>
          <w:tcPr>
            <w:tcW w:w="8589" w:type="dxa"/>
          </w:tcPr>
          <w:p w:rsidR="000D6296" w:rsidRPr="000D6296" w:rsidRDefault="000D6296" w:rsidP="000D6296">
            <w:pPr>
              <w:pStyle w:val="ListParagraph"/>
              <w:numPr>
                <w:ilvl w:val="0"/>
                <w:numId w:val="7"/>
              </w:numPr>
              <w:rPr>
                <w:rFonts w:ascii="Verdana" w:hAnsi="Verdana"/>
              </w:rPr>
            </w:pPr>
            <w:r w:rsidRPr="000D6296">
              <w:rPr>
                <w:rFonts w:ascii="Verdana" w:hAnsi="Verdana"/>
              </w:rPr>
              <w:t>To engage with the data to ensure they have knowledge of which children are causing concern and which need further challenge, including vulnerable groups</w:t>
            </w:r>
            <w:r w:rsidR="00F94E39">
              <w:rPr>
                <w:rFonts w:ascii="Verdana" w:hAnsi="Verdana"/>
              </w:rPr>
              <w:t xml:space="preserve"> within their subject </w:t>
            </w:r>
          </w:p>
          <w:p w:rsidR="00F94E39" w:rsidRPr="00F94E39" w:rsidRDefault="000D6296" w:rsidP="000D6296">
            <w:pPr>
              <w:pStyle w:val="ListParagraph"/>
              <w:numPr>
                <w:ilvl w:val="0"/>
                <w:numId w:val="7"/>
              </w:numPr>
              <w:rPr>
                <w:rFonts w:ascii="Verdana" w:hAnsi="Verdana"/>
                <w:b/>
                <w:u w:val="single"/>
              </w:rPr>
            </w:pPr>
            <w:r w:rsidRPr="00F94E39">
              <w:rPr>
                <w:rFonts w:ascii="Verdana" w:hAnsi="Verdana"/>
              </w:rPr>
              <w:t xml:space="preserve">To use the data to inform future action plans </w:t>
            </w:r>
          </w:p>
          <w:p w:rsidR="000D6296" w:rsidRPr="00F94E39" w:rsidRDefault="000D6296" w:rsidP="000D6296">
            <w:pPr>
              <w:pStyle w:val="ListParagraph"/>
              <w:numPr>
                <w:ilvl w:val="0"/>
                <w:numId w:val="7"/>
              </w:numPr>
              <w:rPr>
                <w:rFonts w:ascii="Verdana" w:hAnsi="Verdana"/>
                <w:b/>
                <w:u w:val="single"/>
              </w:rPr>
            </w:pPr>
            <w:r w:rsidRPr="00F94E39">
              <w:rPr>
                <w:rFonts w:ascii="Verdana" w:hAnsi="Verdana"/>
              </w:rPr>
              <w:t xml:space="preserve">To have knowledge of how our data compares to that of local and national data </w:t>
            </w:r>
          </w:p>
          <w:p w:rsidR="000D6296" w:rsidRPr="00F94E39" w:rsidRDefault="000D6296" w:rsidP="000D6296">
            <w:pPr>
              <w:pStyle w:val="ListParagraph"/>
              <w:numPr>
                <w:ilvl w:val="0"/>
                <w:numId w:val="7"/>
              </w:numPr>
              <w:rPr>
                <w:rFonts w:ascii="Verdana" w:hAnsi="Verdana"/>
                <w:b/>
                <w:u w:val="single"/>
              </w:rPr>
            </w:pPr>
            <w:r>
              <w:rPr>
                <w:rFonts w:ascii="Verdana" w:hAnsi="Verdana"/>
              </w:rPr>
              <w:t xml:space="preserve">To attend and lead moderation sessions </w:t>
            </w:r>
          </w:p>
          <w:p w:rsidR="00F94E39" w:rsidRPr="000D6296" w:rsidRDefault="00F94E39" w:rsidP="000D6296">
            <w:pPr>
              <w:pStyle w:val="ListParagraph"/>
              <w:numPr>
                <w:ilvl w:val="0"/>
                <w:numId w:val="7"/>
              </w:numPr>
              <w:rPr>
                <w:rFonts w:ascii="Verdana" w:hAnsi="Verdana"/>
                <w:b/>
                <w:u w:val="single"/>
              </w:rPr>
            </w:pPr>
            <w:r>
              <w:rPr>
                <w:rFonts w:ascii="Verdana" w:hAnsi="Verdana"/>
              </w:rPr>
              <w:t>To identify good practice around assessment and areas for development during monitoring (when it is the focus)</w:t>
            </w:r>
          </w:p>
        </w:tc>
      </w:tr>
      <w:tr w:rsidR="000D6296" w:rsidTr="009A5AEF">
        <w:tc>
          <w:tcPr>
            <w:tcW w:w="2093" w:type="dxa"/>
          </w:tcPr>
          <w:p w:rsidR="000D6296" w:rsidRPr="006F670B" w:rsidRDefault="006F670B">
            <w:pPr>
              <w:rPr>
                <w:rFonts w:ascii="Verdana" w:hAnsi="Verdana"/>
              </w:rPr>
            </w:pPr>
            <w:r w:rsidRPr="006F670B">
              <w:rPr>
                <w:rFonts w:ascii="Verdana" w:hAnsi="Verdana"/>
              </w:rPr>
              <w:t>SLT</w:t>
            </w:r>
          </w:p>
        </w:tc>
        <w:tc>
          <w:tcPr>
            <w:tcW w:w="8589" w:type="dxa"/>
          </w:tcPr>
          <w:p w:rsidR="00F94E39" w:rsidRDefault="00F94E39" w:rsidP="00F94E39">
            <w:pPr>
              <w:rPr>
                <w:rFonts w:ascii="Verdana" w:hAnsi="Verdana"/>
              </w:rPr>
            </w:pPr>
            <w:r w:rsidRPr="00F94E39">
              <w:rPr>
                <w:rFonts w:ascii="Verdana" w:hAnsi="Verdana"/>
              </w:rPr>
              <w:t xml:space="preserve">As for subject leaders </w:t>
            </w:r>
            <w:r>
              <w:rPr>
                <w:rFonts w:ascii="Verdana" w:hAnsi="Verdana"/>
              </w:rPr>
              <w:t>and</w:t>
            </w:r>
          </w:p>
          <w:p w:rsidR="00F94E39" w:rsidRPr="00F94E39" w:rsidRDefault="00F94E39" w:rsidP="00F94E39">
            <w:pPr>
              <w:pStyle w:val="ListParagraph"/>
              <w:numPr>
                <w:ilvl w:val="0"/>
                <w:numId w:val="7"/>
              </w:numPr>
              <w:rPr>
                <w:rFonts w:ascii="Verdana" w:hAnsi="Verdana"/>
              </w:rPr>
            </w:pPr>
            <w:r>
              <w:rPr>
                <w:rFonts w:ascii="Verdana" w:hAnsi="Verdana"/>
              </w:rPr>
              <w:t>To ensure all assessment and reporting arrangements are in place</w:t>
            </w:r>
          </w:p>
          <w:p w:rsidR="000D6296" w:rsidRDefault="00F94E39" w:rsidP="00F94E39">
            <w:pPr>
              <w:pStyle w:val="ListParagraph"/>
              <w:numPr>
                <w:ilvl w:val="0"/>
                <w:numId w:val="7"/>
              </w:numPr>
              <w:rPr>
                <w:rFonts w:ascii="Verdana" w:hAnsi="Verdana"/>
              </w:rPr>
            </w:pPr>
            <w:r>
              <w:rPr>
                <w:rFonts w:ascii="Verdana" w:hAnsi="Verdana"/>
              </w:rPr>
              <w:t>To ensure national assessment requirements and deadlines are met</w:t>
            </w:r>
          </w:p>
          <w:p w:rsidR="00F94E39" w:rsidRDefault="00F94E39" w:rsidP="00F94E39">
            <w:pPr>
              <w:pStyle w:val="ListParagraph"/>
              <w:numPr>
                <w:ilvl w:val="0"/>
                <w:numId w:val="7"/>
              </w:numPr>
              <w:rPr>
                <w:rFonts w:ascii="Verdana" w:hAnsi="Verdana"/>
              </w:rPr>
            </w:pPr>
            <w:r>
              <w:rPr>
                <w:rFonts w:ascii="Verdana" w:hAnsi="Verdana"/>
              </w:rPr>
              <w:t>To enable middle managers to be informed about progress and attainment in their area</w:t>
            </w:r>
          </w:p>
          <w:p w:rsidR="00F94E39" w:rsidRDefault="00F94E39" w:rsidP="00F94E39">
            <w:pPr>
              <w:pStyle w:val="ListParagraph"/>
              <w:numPr>
                <w:ilvl w:val="0"/>
                <w:numId w:val="7"/>
              </w:numPr>
              <w:rPr>
                <w:rFonts w:ascii="Verdana" w:hAnsi="Verdana"/>
              </w:rPr>
            </w:pPr>
            <w:r>
              <w:rPr>
                <w:rFonts w:ascii="Verdana" w:hAnsi="Verdana"/>
              </w:rPr>
              <w:t>To use monitoring as a tool for</w:t>
            </w:r>
            <w:r w:rsidR="000E4A27">
              <w:rPr>
                <w:rFonts w:ascii="Verdana" w:hAnsi="Verdana"/>
              </w:rPr>
              <w:t xml:space="preserve"> identification of best practice</w:t>
            </w:r>
          </w:p>
          <w:p w:rsidR="000E4A27" w:rsidRDefault="000E4A27" w:rsidP="00F94E39">
            <w:pPr>
              <w:pStyle w:val="ListParagraph"/>
              <w:numPr>
                <w:ilvl w:val="0"/>
                <w:numId w:val="7"/>
              </w:numPr>
              <w:rPr>
                <w:rFonts w:ascii="Verdana" w:hAnsi="Verdana"/>
              </w:rPr>
            </w:pPr>
            <w:r>
              <w:rPr>
                <w:rFonts w:ascii="Verdana" w:hAnsi="Verdana"/>
              </w:rPr>
              <w:t>To ensure all data is presentable and accessible in the format appropriate for stakeholders</w:t>
            </w:r>
          </w:p>
          <w:p w:rsidR="00A61433" w:rsidRDefault="00A61433" w:rsidP="00A61433">
            <w:pPr>
              <w:pStyle w:val="ListParagraph"/>
              <w:numPr>
                <w:ilvl w:val="0"/>
                <w:numId w:val="7"/>
              </w:numPr>
              <w:rPr>
                <w:rFonts w:ascii="Verdana" w:hAnsi="Verdana"/>
              </w:rPr>
            </w:pPr>
            <w:r>
              <w:rPr>
                <w:rFonts w:ascii="Verdana" w:hAnsi="Verdana"/>
              </w:rPr>
              <w:t xml:space="preserve">To ensure the appropriate use of Pupil Premium funding to help ensure attainment for all </w:t>
            </w:r>
          </w:p>
          <w:p w:rsidR="00A61433" w:rsidRDefault="00A61433" w:rsidP="00A61433">
            <w:pPr>
              <w:pStyle w:val="ListParagraph"/>
              <w:numPr>
                <w:ilvl w:val="0"/>
                <w:numId w:val="7"/>
              </w:numPr>
              <w:rPr>
                <w:rFonts w:ascii="Verdana" w:hAnsi="Verdana"/>
              </w:rPr>
            </w:pPr>
            <w:r>
              <w:rPr>
                <w:rFonts w:ascii="Verdana" w:hAnsi="Verdana"/>
              </w:rPr>
              <w:t>To organise/provide appropriate CPD in relation to assessment practices</w:t>
            </w:r>
          </w:p>
          <w:p w:rsidR="00A61433" w:rsidRPr="00F94E39" w:rsidRDefault="00A61433" w:rsidP="00A61433">
            <w:pPr>
              <w:pStyle w:val="ListParagraph"/>
              <w:numPr>
                <w:ilvl w:val="0"/>
                <w:numId w:val="7"/>
              </w:numPr>
              <w:rPr>
                <w:rFonts w:ascii="Verdana" w:hAnsi="Verdana"/>
              </w:rPr>
            </w:pPr>
            <w:r>
              <w:rPr>
                <w:rFonts w:ascii="Verdana" w:hAnsi="Verdana"/>
              </w:rPr>
              <w:t xml:space="preserve">To be proactive in engaging with local schools to support the assessment and moderation process </w:t>
            </w:r>
          </w:p>
        </w:tc>
      </w:tr>
      <w:tr w:rsidR="000D6296" w:rsidTr="009A5AEF">
        <w:tc>
          <w:tcPr>
            <w:tcW w:w="2093" w:type="dxa"/>
          </w:tcPr>
          <w:p w:rsidR="000D6296" w:rsidRPr="006F670B" w:rsidRDefault="006F670B">
            <w:pPr>
              <w:rPr>
                <w:rFonts w:ascii="Verdana" w:hAnsi="Verdana"/>
              </w:rPr>
            </w:pPr>
            <w:r w:rsidRPr="006F670B">
              <w:rPr>
                <w:rFonts w:ascii="Verdana" w:hAnsi="Verdana"/>
              </w:rPr>
              <w:t>Governors</w:t>
            </w:r>
          </w:p>
        </w:tc>
        <w:tc>
          <w:tcPr>
            <w:tcW w:w="8589" w:type="dxa"/>
          </w:tcPr>
          <w:p w:rsidR="000E4A27" w:rsidRDefault="000E4A27" w:rsidP="000E4A27">
            <w:pPr>
              <w:pStyle w:val="ListParagraph"/>
              <w:numPr>
                <w:ilvl w:val="0"/>
                <w:numId w:val="7"/>
              </w:numPr>
              <w:rPr>
                <w:rFonts w:ascii="Verdana" w:hAnsi="Verdana"/>
              </w:rPr>
            </w:pPr>
            <w:r>
              <w:rPr>
                <w:rFonts w:ascii="Verdana" w:hAnsi="Verdana"/>
              </w:rPr>
              <w:t>To interrogate progress and attainment data to hold the school to account; to question underachievement and to be knowledgeable about what’s in place for those children. Likewise, to be aware of what provision is in place for those children exceeding age-related expectations</w:t>
            </w:r>
          </w:p>
          <w:p w:rsidR="00A61433" w:rsidRDefault="000E4A27" w:rsidP="000E4A27">
            <w:pPr>
              <w:pStyle w:val="ListParagraph"/>
              <w:numPr>
                <w:ilvl w:val="0"/>
                <w:numId w:val="7"/>
              </w:numPr>
              <w:rPr>
                <w:rFonts w:ascii="Verdana" w:hAnsi="Verdana"/>
              </w:rPr>
            </w:pPr>
            <w:r>
              <w:rPr>
                <w:rFonts w:ascii="Verdana" w:hAnsi="Verdana"/>
              </w:rPr>
              <w:t xml:space="preserve">To know how our data compares to that of schools locally and within the national picture </w:t>
            </w:r>
          </w:p>
          <w:p w:rsidR="000D6296" w:rsidRDefault="00A61433" w:rsidP="000E4A27">
            <w:pPr>
              <w:pStyle w:val="ListParagraph"/>
              <w:numPr>
                <w:ilvl w:val="0"/>
                <w:numId w:val="7"/>
              </w:numPr>
              <w:rPr>
                <w:rFonts w:ascii="Verdana" w:hAnsi="Verdana"/>
              </w:rPr>
            </w:pPr>
            <w:r>
              <w:rPr>
                <w:rFonts w:ascii="Verdana" w:hAnsi="Verdana"/>
              </w:rPr>
              <w:t xml:space="preserve">To know how Pupil Premium funding is used within school to ensure attainment for all </w:t>
            </w:r>
          </w:p>
          <w:p w:rsidR="00A61433" w:rsidRPr="000E4A27" w:rsidRDefault="00A61433" w:rsidP="00A61433">
            <w:pPr>
              <w:pStyle w:val="ListParagraph"/>
              <w:numPr>
                <w:ilvl w:val="0"/>
                <w:numId w:val="7"/>
              </w:numPr>
              <w:rPr>
                <w:rFonts w:ascii="Verdana" w:hAnsi="Verdana"/>
              </w:rPr>
            </w:pPr>
            <w:r>
              <w:rPr>
                <w:rFonts w:ascii="Verdana" w:hAnsi="Verdana"/>
              </w:rPr>
              <w:t xml:space="preserve">To support </w:t>
            </w:r>
            <w:r w:rsidR="00883CDD">
              <w:rPr>
                <w:rFonts w:ascii="Verdana" w:hAnsi="Verdana"/>
              </w:rPr>
              <w:t xml:space="preserve">the </w:t>
            </w:r>
            <w:r>
              <w:rPr>
                <w:rFonts w:ascii="Verdana" w:hAnsi="Verdana"/>
              </w:rPr>
              <w:t xml:space="preserve">SLT in assessment practices </w:t>
            </w:r>
          </w:p>
        </w:tc>
      </w:tr>
    </w:tbl>
    <w:p w:rsidR="000D6296" w:rsidRPr="000D6296" w:rsidRDefault="000D6296">
      <w:pPr>
        <w:rPr>
          <w:rFonts w:ascii="Verdana" w:hAnsi="Verdana"/>
          <w:b/>
          <w:u w:val="single"/>
        </w:rPr>
      </w:pPr>
    </w:p>
    <w:p w:rsidR="00317007" w:rsidRDefault="00317007"/>
    <w:p w:rsidR="00317007" w:rsidRDefault="00317007"/>
    <w:p w:rsidR="00F83C1D" w:rsidRDefault="00F83C1D"/>
    <w:sectPr w:rsidR="00F83C1D" w:rsidSect="003E3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F65"/>
    <w:multiLevelType w:val="hybridMultilevel"/>
    <w:tmpl w:val="5458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95F56"/>
    <w:multiLevelType w:val="hybridMultilevel"/>
    <w:tmpl w:val="48C04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B52EDD"/>
    <w:multiLevelType w:val="hybridMultilevel"/>
    <w:tmpl w:val="F510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03BE3"/>
    <w:multiLevelType w:val="hybridMultilevel"/>
    <w:tmpl w:val="897C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66814"/>
    <w:multiLevelType w:val="hybridMultilevel"/>
    <w:tmpl w:val="4F12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72C22"/>
    <w:multiLevelType w:val="hybridMultilevel"/>
    <w:tmpl w:val="816EE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4C02B7"/>
    <w:multiLevelType w:val="hybridMultilevel"/>
    <w:tmpl w:val="3A80CD86"/>
    <w:lvl w:ilvl="0" w:tplc="F1FE2FFC">
      <w:start w:val="18"/>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1D"/>
    <w:rsid w:val="00000DF0"/>
    <w:rsid w:val="000217DD"/>
    <w:rsid w:val="000467BF"/>
    <w:rsid w:val="00051BAF"/>
    <w:rsid w:val="0006689C"/>
    <w:rsid w:val="00075C66"/>
    <w:rsid w:val="000949EC"/>
    <w:rsid w:val="000A108F"/>
    <w:rsid w:val="000A1EFC"/>
    <w:rsid w:val="000B2AD4"/>
    <w:rsid w:val="000C2752"/>
    <w:rsid w:val="000D6296"/>
    <w:rsid w:val="000D7FF6"/>
    <w:rsid w:val="000E3B6C"/>
    <w:rsid w:val="000E4A27"/>
    <w:rsid w:val="0010158C"/>
    <w:rsid w:val="0012481E"/>
    <w:rsid w:val="00124AAC"/>
    <w:rsid w:val="00140F1B"/>
    <w:rsid w:val="00170FE8"/>
    <w:rsid w:val="0017198C"/>
    <w:rsid w:val="001B1330"/>
    <w:rsid w:val="002106AA"/>
    <w:rsid w:val="00213BA2"/>
    <w:rsid w:val="002225DF"/>
    <w:rsid w:val="00230739"/>
    <w:rsid w:val="00237780"/>
    <w:rsid w:val="00270754"/>
    <w:rsid w:val="00292115"/>
    <w:rsid w:val="002C7DA0"/>
    <w:rsid w:val="00301E82"/>
    <w:rsid w:val="003078EB"/>
    <w:rsid w:val="00314756"/>
    <w:rsid w:val="00317007"/>
    <w:rsid w:val="003442B2"/>
    <w:rsid w:val="0035263D"/>
    <w:rsid w:val="0036649D"/>
    <w:rsid w:val="00372541"/>
    <w:rsid w:val="003E3FB8"/>
    <w:rsid w:val="003F0A5C"/>
    <w:rsid w:val="00430376"/>
    <w:rsid w:val="0045551C"/>
    <w:rsid w:val="00483B3D"/>
    <w:rsid w:val="00487218"/>
    <w:rsid w:val="00494BD8"/>
    <w:rsid w:val="004B6F7D"/>
    <w:rsid w:val="004D1A80"/>
    <w:rsid w:val="004D52B3"/>
    <w:rsid w:val="004E262B"/>
    <w:rsid w:val="00502241"/>
    <w:rsid w:val="00523BAB"/>
    <w:rsid w:val="00535FD8"/>
    <w:rsid w:val="00546BFE"/>
    <w:rsid w:val="005559DC"/>
    <w:rsid w:val="00556C4C"/>
    <w:rsid w:val="005B1C5F"/>
    <w:rsid w:val="005C4312"/>
    <w:rsid w:val="00604707"/>
    <w:rsid w:val="006055B7"/>
    <w:rsid w:val="00613CE8"/>
    <w:rsid w:val="006143AE"/>
    <w:rsid w:val="006145F4"/>
    <w:rsid w:val="00645368"/>
    <w:rsid w:val="0065579B"/>
    <w:rsid w:val="00655BDC"/>
    <w:rsid w:val="00664F4C"/>
    <w:rsid w:val="006720F8"/>
    <w:rsid w:val="006D1663"/>
    <w:rsid w:val="006D5AC0"/>
    <w:rsid w:val="006E01E0"/>
    <w:rsid w:val="006E19C7"/>
    <w:rsid w:val="006F670B"/>
    <w:rsid w:val="0070148F"/>
    <w:rsid w:val="00701A2D"/>
    <w:rsid w:val="00724397"/>
    <w:rsid w:val="0074420C"/>
    <w:rsid w:val="00756FDC"/>
    <w:rsid w:val="00773190"/>
    <w:rsid w:val="007743A5"/>
    <w:rsid w:val="0077609F"/>
    <w:rsid w:val="00780B10"/>
    <w:rsid w:val="007F47D9"/>
    <w:rsid w:val="00804FFD"/>
    <w:rsid w:val="00810655"/>
    <w:rsid w:val="008203B6"/>
    <w:rsid w:val="00823E2C"/>
    <w:rsid w:val="00856234"/>
    <w:rsid w:val="0087058C"/>
    <w:rsid w:val="00883CDD"/>
    <w:rsid w:val="00895551"/>
    <w:rsid w:val="008B689E"/>
    <w:rsid w:val="008C26B3"/>
    <w:rsid w:val="008D525D"/>
    <w:rsid w:val="00900140"/>
    <w:rsid w:val="00922D6A"/>
    <w:rsid w:val="00927B19"/>
    <w:rsid w:val="00985D44"/>
    <w:rsid w:val="009A471A"/>
    <w:rsid w:val="009A5AEF"/>
    <w:rsid w:val="009E5FED"/>
    <w:rsid w:val="00A0395F"/>
    <w:rsid w:val="00A24962"/>
    <w:rsid w:val="00A60D40"/>
    <w:rsid w:val="00A61433"/>
    <w:rsid w:val="00A62804"/>
    <w:rsid w:val="00A93D40"/>
    <w:rsid w:val="00AA0956"/>
    <w:rsid w:val="00AD45F8"/>
    <w:rsid w:val="00AE3C51"/>
    <w:rsid w:val="00AF3EBD"/>
    <w:rsid w:val="00B20D46"/>
    <w:rsid w:val="00B2406A"/>
    <w:rsid w:val="00B25E94"/>
    <w:rsid w:val="00B26D7B"/>
    <w:rsid w:val="00B36F17"/>
    <w:rsid w:val="00B433CD"/>
    <w:rsid w:val="00B45ABD"/>
    <w:rsid w:val="00B55424"/>
    <w:rsid w:val="00B70C17"/>
    <w:rsid w:val="00B73C8D"/>
    <w:rsid w:val="00BB2DAA"/>
    <w:rsid w:val="00BB671F"/>
    <w:rsid w:val="00BB7895"/>
    <w:rsid w:val="00BE066F"/>
    <w:rsid w:val="00BE4FD8"/>
    <w:rsid w:val="00C03041"/>
    <w:rsid w:val="00C20EE3"/>
    <w:rsid w:val="00C331D3"/>
    <w:rsid w:val="00C43706"/>
    <w:rsid w:val="00C547DC"/>
    <w:rsid w:val="00CA3E3B"/>
    <w:rsid w:val="00CD3853"/>
    <w:rsid w:val="00D04B50"/>
    <w:rsid w:val="00D260A9"/>
    <w:rsid w:val="00D32240"/>
    <w:rsid w:val="00D72630"/>
    <w:rsid w:val="00D75CD5"/>
    <w:rsid w:val="00DA4B48"/>
    <w:rsid w:val="00DC606D"/>
    <w:rsid w:val="00DE09DF"/>
    <w:rsid w:val="00E0272D"/>
    <w:rsid w:val="00E03401"/>
    <w:rsid w:val="00E0504B"/>
    <w:rsid w:val="00E24061"/>
    <w:rsid w:val="00E2645C"/>
    <w:rsid w:val="00E27A40"/>
    <w:rsid w:val="00E3555E"/>
    <w:rsid w:val="00E43155"/>
    <w:rsid w:val="00E64A65"/>
    <w:rsid w:val="00E67469"/>
    <w:rsid w:val="00E80789"/>
    <w:rsid w:val="00EE0785"/>
    <w:rsid w:val="00EE5EAE"/>
    <w:rsid w:val="00EF4625"/>
    <w:rsid w:val="00EF4651"/>
    <w:rsid w:val="00F341A7"/>
    <w:rsid w:val="00F57D27"/>
    <w:rsid w:val="00F656D3"/>
    <w:rsid w:val="00F677B6"/>
    <w:rsid w:val="00F704F2"/>
    <w:rsid w:val="00F705F4"/>
    <w:rsid w:val="00F73B8E"/>
    <w:rsid w:val="00F83C1D"/>
    <w:rsid w:val="00F864AB"/>
    <w:rsid w:val="00F91C72"/>
    <w:rsid w:val="00F94E39"/>
    <w:rsid w:val="00FB6D88"/>
    <w:rsid w:val="00FF1C31"/>
    <w:rsid w:val="00FF5B9F"/>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3D699-89FA-4F1F-81CA-2E9EAF46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1D"/>
    <w:pPr>
      <w:ind w:left="720"/>
      <w:contextualSpacing/>
    </w:pPr>
  </w:style>
  <w:style w:type="table" w:styleId="TableGrid">
    <w:name w:val="Table Grid"/>
    <w:basedOn w:val="TableNormal"/>
    <w:uiPriority w:val="59"/>
    <w:rsid w:val="00C0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St.Day and Carharrack Community School</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Vallance</dc:creator>
  <cp:lastModifiedBy>LKeam</cp:lastModifiedBy>
  <cp:revision>2</cp:revision>
  <dcterms:created xsi:type="dcterms:W3CDTF">2018-11-22T14:49:00Z</dcterms:created>
  <dcterms:modified xsi:type="dcterms:W3CDTF">2018-11-22T14:49:00Z</dcterms:modified>
</cp:coreProperties>
</file>